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16 w16cex wp14">
  <w:body>
    <w:p w14:paraId="06110F54" w14:textId="77777777" w:rsidP="00EC616F" w:rsidR="005B3B61" w:rsidRDefault="005B3B61" w:rsidRPr="005B3B61">
      <w:pPr>
        <w:spacing w:line="360" w:lineRule="auto"/>
        <w:rPr>
          <w:rFonts w:ascii="Times New Roman" w:hAnsi="Times New Roman"/>
          <w:sz w:val="24"/>
          <w:szCs w:val="24"/>
        </w:rPr>
      </w:pPr>
    </w:p>
    <w:p w14:paraId="5785D052" w14:textId="0ABE7646" w:rsidP="00FB0A40" w:rsidR="00232F4C" w:rsidRDefault="004E17ED" w:rsidRPr="006A6915">
      <w:pPr>
        <w:spacing w:line="276" w:lineRule="auto"/>
        <w:jc w:val="left"/>
        <w:rPr>
          <w:rFonts w:ascii="Times New Roman" w:hAnsi="Times New Roman"/>
          <w:b/>
          <w:color w:val="000000"/>
          <w:sz w:val="30"/>
          <w:szCs w:val="30"/>
        </w:rPr>
      </w:pPr>
      <w:r w:rsidRPr="006A6915">
        <w:rPr>
          <w:rFonts w:ascii="Times New Roman" w:hAnsi="Times New Roman"/>
          <w:b/>
          <w:color w:val="000000"/>
          <w:sz w:val="30"/>
          <w:szCs w:val="30"/>
        </w:rPr>
        <w:t xml:space="preserve">The prescription rule analysis of the </w:t>
      </w:r>
      <w:r>
        <w:rPr>
          <w:rFonts w:ascii="Times New Roman" w:hAnsi="Times New Roman"/>
          <w:b/>
          <w:i w:val="true"/>
          <w:color w:val="000000"/>
          <w:sz w:val="30"/>
          <w:szCs w:val="30"/>
        </w:rPr>
        <w:t>New Theory on Spleen Dampness Syndrome</w:t>
      </w:r>
      <w:r>
        <w:rPr>
          <w:rFonts w:ascii="Times New Roman" w:hAnsi="Times New Roman"/>
          <w:b/>
          <w:color w:val="000000"/>
          <w:sz w:val="30"/>
          <w:szCs w:val="30"/>
        </w:rPr>
        <w:t xml:space="preserve"> by Academician TONG Xiaolin</w:t>
      </w:r>
    </w:p>
    <w:p w14:paraId="5F09FCC2" w14:textId="578CF024" w:rsidP="00DB059D" w:rsidR="00DB059D" w:rsidRDefault="00DB059D">
      <w:pPr>
        <w:widowControl/>
        <w:shd w:color="auto" w:fill="FFFFFF" w:val="clear"/>
        <w:spacing w:line="360" w:lineRule="auto"/>
        <w:jc w:val="left"/>
        <w:rPr>
          <w:rFonts w:ascii="Times New Roman" w:hAnsi="Times New Roman"/>
          <w:sz w:val="24"/>
          <w:szCs w:val="24"/>
        </w:rPr>
      </w:pPr>
      <w:r>
        <w:rPr>
          <w:rFonts w:ascii="Times New Roman" w:hAnsi="Times New Roman"/>
          <w:sz w:val="24"/>
          <w:szCs w:val="24"/>
        </w:rPr>
        <w:t xml:space="preserve">ZHENG Jinghui</w:t>
      </w:r>
      <w:proofErr w:type="gramStart"/>
      <w:proofErr w:type="gramEnd"/>
      <w:proofErr w:type="spellStart"/>
      <w:proofErr w:type="spellEnd"/>
      <w:r>
        <w:rPr>
          <w:rFonts w:ascii="Times New Roman" w:hAnsi="Times New Roman"/>
          <w:sz w:val="24"/>
          <w:szCs w:val="24"/>
          <w:vertAlign w:val="superscript"/>
        </w:rPr>
        <w:t>1, *</w:t>
      </w:r>
      <w:r>
        <w:rPr>
          <w:rFonts w:ascii="Times New Roman" w:hAnsi="Times New Roman"/>
          <w:sz w:val="24"/>
          <w:szCs w:val="24"/>
        </w:rPr>
        <w:t>, LI Lijuan</w:t>
      </w:r>
      <w:r>
        <w:rPr>
          <w:rFonts w:ascii="Times New Roman" w:hAnsi="Times New Roman"/>
          <w:sz w:val="24"/>
          <w:szCs w:val="24"/>
          <w:vertAlign w:val="superscript"/>
        </w:rPr>
        <w:t>1</w:t>
      </w:r>
      <w:r>
        <w:rPr>
          <w:rFonts w:ascii="Times New Roman" w:hAnsi="Times New Roman"/>
          <w:sz w:val="24"/>
          <w:szCs w:val="24"/>
        </w:rPr>
        <w:t>, HUANG Feijian</w:t>
      </w:r>
      <w:r>
        <w:rPr>
          <w:rFonts w:ascii="Times New Roman" w:hAnsi="Times New Roman"/>
          <w:sz w:val="24"/>
          <w:szCs w:val="24"/>
          <w:vertAlign w:val="superscript"/>
        </w:rPr>
        <w:t>2</w:t>
      </w:r>
      <w:r>
        <w:rPr>
          <w:rFonts w:ascii="Times New Roman" w:hAnsi="Times New Roman"/>
          <w:sz w:val="24"/>
          <w:szCs w:val="24"/>
        </w:rPr>
        <w:t>, CHEN Xuan</w:t>
      </w:r>
      <w:r>
        <w:rPr>
          <w:rFonts w:ascii="Times New Roman" w:hAnsi="Times New Roman"/>
          <w:sz w:val="24"/>
          <w:szCs w:val="24"/>
          <w:vertAlign w:val="superscript"/>
        </w:rPr>
        <w:t>1</w:t>
      </w:r>
      <w:r>
        <w:rPr>
          <w:rFonts w:ascii="Times New Roman" w:hAnsi="Times New Roman"/>
          <w:sz w:val="24"/>
          <w:szCs w:val="24"/>
        </w:rPr>
        <w:t>, LEI Ye</w:t>
      </w:r>
      <w:r>
        <w:rPr>
          <w:rFonts w:ascii="Times New Roman" w:hAnsi="Times New Roman"/>
          <w:sz w:val="24"/>
          <w:szCs w:val="24"/>
          <w:vertAlign w:val="superscript"/>
        </w:rPr>
        <w:t>3</w:t>
      </w:r>
      <w:r>
        <w:rPr>
          <w:rFonts w:ascii="Times New Roman" w:hAnsi="Times New Roman"/>
          <w:sz w:val="24"/>
          <w:szCs w:val="24"/>
        </w:rPr>
        <w:t>, ZHU Xiangdong</w:t>
      </w:r>
      <w:r>
        <w:rPr>
          <w:rFonts w:ascii="Times New Roman" w:hAnsi="Times New Roman"/>
          <w:sz w:val="24"/>
          <w:szCs w:val="24"/>
          <w:vertAlign w:val="superscript"/>
        </w:rPr>
        <w:t>4</w:t>
      </w:r>
      <w:r>
        <w:rPr>
          <w:rFonts w:ascii="Times New Roman" w:hAnsi="Times New Roman"/>
          <w:sz w:val="24"/>
          <w:szCs w:val="24"/>
        </w:rPr>
        <w:t>, LIU Wenke</w:t>
      </w:r>
      <w:r>
        <w:rPr>
          <w:rFonts w:ascii="Times New Roman" w:hAnsi="Times New Roman"/>
          <w:sz w:val="24"/>
          <w:szCs w:val="24"/>
          <w:vertAlign w:val="superscript"/>
        </w:rPr>
        <w:t>5</w:t>
      </w:r>
    </w:p>
    <w:p w14:paraId="54E57882" w14:textId="77777777" w:rsidP="00477AEE" w:rsidR="007D77F0" w:rsidRDefault="007D77F0" w:rsidRPr="007D77F0">
      <w:pPr>
        <w:widowControl/>
        <w:shd w:color="auto" w:fill="FFFFFF" w:val="clear"/>
        <w:jc w:val="left"/>
        <w:rPr>
          <w:rFonts w:ascii="Times New Roman" w:hAnsi="Times New Roman"/>
          <w:color w:val="000000"/>
          <w:kern w:val="0"/>
          <w:sz w:val="24"/>
          <w:szCs w:val="24"/>
        </w:rPr>
      </w:pPr>
    </w:p>
    <w:p>
      <w:pPr>
        <w:spacing w:line="276" w:lineRule="auto"/>
        <w:jc w:val="left"/>
        <w:rPr>
          <w:rFonts w:ascii="Times New Roman" w:hAnsi="Times New Roman"/>
          <w:sz w:val="24"/>
          <w:szCs w:val="24"/>
        </w:rPr>
      </w:pPr>
      <w:r>
        <w:rPr>
          <w:rFonts w:ascii="Times New Roman" w:hAnsi="Times New Roman"/>
          <w:sz w:val="24"/>
          <w:szCs w:val="24"/>
        </w:rPr>
        <w:t>1. Department of Cardiovascular, Ruikang Hospital Affiliated to Guangxi University of Chinese medicine, Nanning, Guangxi 530011, China</w:t>
      </w:r>
    </w:p>
    <w:p>
      <w:pPr>
        <w:spacing w:line="276" w:lineRule="auto"/>
        <w:jc w:val="left"/>
        <w:rPr>
          <w:rFonts w:ascii="Times New Roman" w:hAnsi="Times New Roman"/>
          <w:sz w:val="24"/>
          <w:szCs w:val="24"/>
        </w:rPr>
      </w:pPr>
      <w:r>
        <w:rPr>
          <w:rFonts w:ascii="Times New Roman" w:hAnsi="Times New Roman"/>
          <w:sz w:val="24"/>
          <w:szCs w:val="24"/>
        </w:rPr>
        <w:t>2. Internal Department, Beijing Dongcheng Hospital of Traditional Chinese Medicine, Beijing 100013, China</w:t>
      </w:r>
    </w:p>
    <w:p>
      <w:pPr>
        <w:spacing w:line="276" w:lineRule="auto"/>
        <w:jc w:val="left"/>
        <w:rPr>
          <w:rFonts w:ascii="Times New Roman" w:hAnsi="Times New Roman"/>
          <w:sz w:val="24"/>
          <w:szCs w:val="24"/>
        </w:rPr>
      </w:pPr>
      <w:r>
        <w:rPr>
          <w:rFonts w:ascii="Times New Roman" w:hAnsi="Times New Roman"/>
          <w:sz w:val="24"/>
          <w:szCs w:val="24"/>
        </w:rPr>
        <w:t>3. Endocrinology Department, Second Affiliated Hospital of Shaanxi University of Traditional Chinese Medicine, Xianyang, Shaanxi 712000, China</w:t>
      </w:r>
    </w:p>
    <w:p>
      <w:pPr>
        <w:spacing w:line="276" w:lineRule="auto"/>
        <w:jc w:val="left"/>
        <w:rPr>
          <w:rFonts w:ascii="Times New Roman" w:hAnsi="Times New Roman"/>
          <w:sz w:val="24"/>
          <w:szCs w:val="24"/>
        </w:rPr>
      </w:pPr>
      <w:r>
        <w:rPr>
          <w:rFonts w:ascii="Times New Roman" w:hAnsi="Times New Roman"/>
          <w:sz w:val="24"/>
          <w:szCs w:val="24"/>
        </w:rPr>
        <w:t>4. College of Traditional Chinese medicine, Ningxia Medical University, Yinchuan, Ningxia 750004, China</w:t>
      </w:r>
    </w:p>
    <w:p>
      <w:pPr>
        <w:spacing w:line="276" w:lineRule="auto"/>
        <w:jc w:val="left"/>
        <w:rPr>
          <w:rFonts w:ascii="Times New Roman" w:hAnsi="Times New Roman"/>
          <w:sz w:val="24"/>
          <w:szCs w:val="24"/>
        </w:rPr>
      </w:pPr>
      <w:r>
        <w:rPr>
          <w:rFonts w:ascii="Times New Roman" w:hAnsi="Times New Roman"/>
          <w:sz w:val="24"/>
          <w:szCs w:val="24"/>
        </w:rPr>
        <w:t>5. Endocrinology Department, Guang'anmen Hospital, Chinese Academy of Chinese Medical Sciences, Beijing 100053, China</w:t>
      </w:r>
    </w:p>
    <w:p w14:paraId="07B330E1" w14:textId="7DCA9AFD" w:rsidP="000E2E77" w:rsidR="00A57AA8" w:rsidRDefault="00A57AA8" w:rsidRPr="00DB059D">
      <w:pPr>
        <w:widowControl/>
        <w:shd w:color="auto" w:fill="FFFFFF" w:val="clear"/>
        <w:jc w:val="left"/>
        <w:rPr>
          <w:rFonts w:ascii="Times New Roman" w:hAnsi="Times New Roman"/>
          <w:color w:val="000000"/>
          <w:kern w:val="0"/>
          <w:sz w:val="24"/>
          <w:szCs w:val="24"/>
        </w:rPr>
      </w:pPr>
    </w:p>
    <w:p w14:paraId="5CC12241" w14:textId="144DC266" w:rsidP="007A33CA" w:rsidR="000E2E77" w:rsidRDefault="000E2E77">
      <w:pPr>
        <w:spacing w:line="276" w:lineRule="auto"/>
        <w:jc w:val="left"/>
        <w:rPr>
          <w:rFonts w:ascii="Times New Roman" w:hAnsi="宋体"/>
          <w:sz w:val="24"/>
          <w:szCs w:val="24"/>
        </w:rPr>
      </w:pPr>
      <w:r>
        <w:rPr>
          <w:rFonts w:ascii="Times New Roman" w:hAnsi="宋体" w:hint="eastAsia"/>
          <w:sz w:val="24"/>
          <w:szCs w:val="24"/>
        </w:rPr>
        <w:t/>
      </w:r>
      <w:proofErr w:type="spellStart"/>
      <w:proofErr w:type="spellEnd"/>
      <w:r>
        <w:rPr>
          <w:rFonts w:ascii="Times New Roman" w:hAnsi="宋体" w:hint="eastAsia"/>
          <w:sz w:val="24"/>
          <w:szCs w:val="24"/>
          <w:vertAlign w:val="superscript"/>
        </w:rPr>
        <w:t>*</w:t>
      </w:r>
      <w:r>
        <w:rPr>
          <w:rFonts w:ascii="Times New Roman" w:hAnsi="宋体" w:hint="eastAsia"/>
          <w:b w:val="true"/>
          <w:sz w:val="24"/>
          <w:szCs w:val="24"/>
        </w:rPr>
        <w:t>Corresponding author:</w:t>
      </w:r>
      <w:r>
        <w:rPr>
          <w:rFonts w:ascii="Times New Roman" w:hAnsi="宋体" w:hint="eastAsia"/>
          <w:sz w:val="24"/>
          <w:szCs w:val="24"/>
        </w:rPr>
        <w:t xml:space="preserve"> Professor, E-mail: zhengjinghui@foxmail.com.  </w:t>
      </w:r>
    </w:p>
    <w:p w14:paraId="5E43518B" w14:textId="2A2C07C1" w:rsidP="00A31BB0" w:rsidR="00A31BB0" w:rsidRDefault="00A31BB0">
      <w:pPr>
        <w:spacing w:line="360" w:lineRule="auto"/>
        <w:jc w:val="left"/>
        <w:rPr>
          <w:rFonts w:ascii="Times New Roman" w:hAnsi="宋体"/>
          <w:sz w:val="24"/>
          <w:szCs w:val="24"/>
        </w:rPr>
      </w:pPr>
      <w:r w:rsidRPr="005A0E05">
        <w:rPr>
          <w:rFonts w:ascii="Times New Roman" w:hAnsi="宋体"/>
          <w:sz w:val="24"/>
          <w:szCs w:val="24"/>
        </w:rPr>
        <w:t xml:space="preserve">Manuscript received 2021-11-19; accepted 2022-1-5; </w:t>
      </w:r>
      <w:proofErr w:type="spellStart"/>
      <w:proofErr w:type="spellEnd"/>
      <w:proofErr w:type="spellStart"/>
      <w:proofErr w:type="spellEnd"/>
    </w:p>
    <w:p w14:paraId="06278AC4" w14:textId="63718855" w:rsidP="00A31BB0" w:rsidR="00A31BB0" w:rsidRDefault="00A31BB0" w:rsidRPr="00A31BB0">
      <w:pPr>
        <w:spacing w:line="360" w:lineRule="auto"/>
        <w:jc w:val="left"/>
        <w:rPr>
          <w:rFonts w:ascii="Times New Roman" w:hAnsi="宋体"/>
          <w:sz w:val="24"/>
          <w:szCs w:val="24"/>
        </w:rPr>
      </w:pPr>
      <w:r>
        <w:rPr>
          <w:rFonts w:ascii="Times New Roman" w:hAnsi="宋体"/>
          <w:sz w:val="24"/>
          <w:szCs w:val="24"/>
        </w:rPr>
        <w:t xml:space="preserve">available online 2022-3-25.</w:t>
      </w:r>
      <w:proofErr w:type="spellStart"/>
      <w:proofErr w:type="spellEnd"/>
    </w:p>
    <w:p w14:paraId="5E69E551" w14:textId="77777777" w:rsidP="00E3596C" w:rsidR="00E3596C" w:rsidRDefault="00E3596C">
      <w:pPr>
        <w:jc w:val="left"/>
        <w:rPr>
          <w:rFonts w:ascii="Times New Roman" w:hAnsi="宋体"/>
          <w:sz w:val="24"/>
          <w:szCs w:val="24"/>
        </w:rPr>
      </w:pPr>
    </w:p>
    <w:p w14:paraId="1217AA18" w14:textId="536FEBEE" w:rsidP="00E3596C" w:rsidR="00E3596C" w:rsidRDefault="00E3596C">
      <w:pPr>
        <w:spacing w:line="276" w:lineRule="auto"/>
        <w:jc w:val="left"/>
        <w:rPr>
          <w:rFonts w:ascii="Times New Roman" w:hAnsi="宋体"/>
          <w:sz w:val="24"/>
          <w:szCs w:val="24"/>
        </w:rPr>
      </w:pPr>
      <w:r w:rsidRPr="00952A11">
        <w:rPr>
          <w:rFonts w:ascii="Times New Roman" w:hAnsi="宋体"/>
          <w:sz w:val="24"/>
          <w:szCs w:val="24"/>
        </w:rPr>
        <w:t/>
      </w:r>
      <w:proofErr w:type="spellStart"/>
      <w:proofErr w:type="spellEnd"/>
    </w:p>
    <w:p w14:paraId="07BAF9A2" w14:textId="20B68F86" w:rsidP="00AA655E" w:rsidR="00AA655E" w:rsidRDefault="00AA655E">
      <w:pPr>
        <w:spacing w:line="360" w:lineRule="auto"/>
        <w:jc w:val="left"/>
        <w:rPr>
          <w:rFonts w:ascii="Times New Roman" w:hAnsi="宋体"/>
          <w:sz w:val="24"/>
          <w:szCs w:val="24"/>
        </w:rPr>
      </w:pPr>
      <w:r w:rsidRPr="00952A11">
        <w:rPr>
          <w:rFonts w:ascii="Times New Roman" w:hAnsi="宋体"/>
          <w:sz w:val="24"/>
          <w:szCs w:val="24"/>
        </w:rPr>
        <w:t/>
      </w:r>
      <w:proofErr w:type="spellStart"/>
      <w:proofErr w:type="spellEnd"/>
    </w:p>
    <w:p w14:paraId="32031A72" w14:textId="77777777" w:rsidP="00952A11" w:rsidR="00952A11" w:rsidRDefault="00952A11" w:rsidRPr="00952A11">
      <w:pPr>
        <w:jc w:val="left"/>
        <w:rPr>
          <w:rFonts w:ascii="Times New Roman" w:hAnsi="宋体"/>
          <w:sz w:val="24"/>
          <w:szCs w:val="24"/>
        </w:rPr>
      </w:pPr>
    </w:p>
    <w:p w14:paraId="04A9E205" w14:textId="1A534137" w:rsidP="002C0F41" w:rsidR="00100EF1" w:rsidRDefault="00E559E8">
      <w:pPr>
        <w:autoSpaceDE w:val="0"/>
        <w:autoSpaceDN w:val="0"/>
        <w:adjustRightInd w:val="0"/>
        <w:spacing w:line="276" w:lineRule="auto"/>
        <w:jc w:val="left"/>
        <w:rPr>
          <w:rFonts w:ascii="Times New Roman" w:hAnsi="宋体"/>
          <w:sz w:val="24"/>
          <w:szCs w:val="24"/>
        </w:rPr>
      </w:pPr>
      <w:r>
        <w:rPr>
          <w:rFonts w:ascii="Times New Roman" w:hAnsi="Times New Roman" w:hint="eastAsia"/>
          <w:b/>
          <w:color w:val="000000"/>
          <w:sz w:val="24"/>
          <w:szCs w:val="24"/>
        </w:rPr>
        <w:t xml:space="preserve">[Abstract]  </w:t>
      </w:r>
      <w:proofErr w:type="gramStart"/>
      <w:r w:rsidR="00156DB6" w:rsidRPr="00BB3994">
        <w:rPr>
          <w:rFonts w:ascii="Times New Roman" w:hAnsi="宋体"/>
          <w:sz w:val="24"/>
          <w:szCs w:val="24"/>
        </w:rPr>
        <w:t xml:space="preserve">          </w:t>
      </w:r>
      <w:proofErr w:type="gramEnd"/>
      <w:r>
        <w:rPr>
          <w:rFonts w:ascii="Times New Roman" w:hAnsi="宋体"/>
          <w:b w:val="true"/>
          <w:sz w:val="24"/>
          <w:szCs w:val="24"/>
        </w:rPr>
        <w:t>Objective</w:t>
      </w:r>
      <w:r>
        <w:rPr>
          <w:rFonts w:ascii="Times New Roman" w:hAnsi="宋体"/>
          <w:sz w:val="24"/>
          <w:szCs w:val="24"/>
        </w:rPr>
        <w:t xml:space="preserve">  To analyze the basic characteristics, drug features, prescription rules, and drug-symptom relationships of patients in the splenic deficiency and impairment stage, by data mining of medical records under the </w:t>
      </w:r>
      <w:r>
        <w:rPr>
          <w:rFonts w:ascii="Times New Roman" w:hAnsi="宋体"/>
          <w:i w:val="true"/>
          <w:sz w:val="24"/>
          <w:szCs w:val="24"/>
        </w:rPr>
        <w:t>New Theory on Spleen Dampness Syndrome</w:t>
      </w:r>
      <w:r>
        <w:rPr>
          <w:rFonts w:ascii="Times New Roman" w:hAnsi="宋体"/>
          <w:sz w:val="24"/>
          <w:szCs w:val="24"/>
        </w:rPr>
        <w:t xml:space="preserve"> (</w:t>
      </w:r>
      <w:r>
        <w:rPr>
          <w:rFonts w:ascii="Times New Roman" w:hAnsi="宋体"/>
          <w:i w:val="true"/>
          <w:sz w:val="24"/>
          <w:szCs w:val="24"/>
        </w:rPr>
        <w:t>Pi Dan Xin Lun</w:t>
      </w:r>
      <w:r>
        <w:rPr>
          <w:rFonts w:ascii="Times New Roman" w:hAnsi="宋体"/>
          <w:sz w:val="24"/>
          <w:szCs w:val="24"/>
        </w:rPr>
        <w:t xml:space="preserve">, 《脾瘅新论》).  </w:t>
      </w:r>
      <w:r>
        <w:rPr>
          <w:rFonts w:ascii="Times New Roman" w:hAnsi="宋体"/>
          <w:b w:val="true"/>
          <w:sz w:val="24"/>
          <w:szCs w:val="24"/>
        </w:rPr>
        <w:t>Methods</w:t>
      </w:r>
      <w:r>
        <w:rPr>
          <w:rFonts w:ascii="Times New Roman" w:hAnsi="宋体"/>
          <w:sz w:val="24"/>
          <w:szCs w:val="24"/>
        </w:rPr>
        <w:t xml:space="preserve">  Medical records listed in the “</w:t>
      </w:r>
      <w:r>
        <w:rPr>
          <w:rFonts w:ascii="Times New Roman" w:hAnsi="宋体"/>
          <w:i w:val="true"/>
          <w:sz w:val="24"/>
          <w:szCs w:val="24"/>
        </w:rPr>
        <w:t>New Theory on Spleen Dampness Syndrome – Understanding and Treatment of Metabolic Syndrome from the Perspective of Traditional Chinese Medicine</w:t>
      </w:r>
      <w:r>
        <w:rPr>
          <w:rFonts w:ascii="Times New Roman" w:hAnsi="宋体"/>
          <w:sz w:val="24"/>
          <w:szCs w:val="24"/>
        </w:rPr>
        <w:t xml:space="preserve">”, and which were diagnosed with the spleen dampness syndrome at the splenic deficiency and impairment stage, during January 2004 and December 2016 were selected. These patients’ data, including basic information, clinical symptoms, laboratory examination results, traditional Chinese medicine (TCM) and western medicine diagnoses, treatment methods, prescriptions, etc., were collected. The collected data were subsequently compiled into a medical record database using the Epidata 3.1 data management software, followed by the use of Apriori algorithm provided in the SPSS Modeler 14.2 statistical software to investigate the association rules between drug-drug, drug-symptom, and drug-western medicine indices.  </w:t>
      </w:r>
      <w:r>
        <w:rPr>
          <w:rFonts w:ascii="Times New Roman" w:hAnsi="宋体"/>
          <w:b w:val="true"/>
          <w:sz w:val="24"/>
          <w:szCs w:val="24"/>
        </w:rPr>
        <w:t>Results</w:t>
      </w:r>
      <w:r>
        <w:rPr>
          <w:rFonts w:ascii="Times New Roman" w:hAnsi="宋体"/>
          <w:sz w:val="24"/>
          <w:szCs w:val="24"/>
        </w:rPr>
        <w:t xml:space="preserve">  (i) A total of 51 medical records were included, involving 17 types of syndromes. Among them, the top three with frequency ≥ 3 included “Phlegm and blood stasis, and thoracic obstruction” “Deficiency-weakness of the spleen Qi, and static blood blocking collaterals”, and “Deficiency-weakness of the spleen Qi, and static blood blocking collaterals”. Alternatively, of the 14 treatment methods, the top three treatments with frequency of ≥ 3 included “Activating Yang and eliminating turbidity, and removing phlegm and dredging channel blockage” “Strengthening the spleen and benefiting Qi, and eliminating phlegm to activate the channels”, and “Warming Yang and benefiting Qi, and expelling cold to remove obstructions”. Among the 15 prescriptions, the top three used with frequency ≥ 3 included Huangqi Guizhi Wuwu Tang (黄芪桂枝五物汤), Gualou Xiebai Banxia Tang (瓜蒌薤白半夏汤), and Ganjiang Huangqin Huanglian Renshen Tang (干姜黄芩黄连人参汤). Lastly, of the 83 drugs used for a total of 476 times, those with frequency ≥ 15 included Huanglian (Coptidis Rhizoma), Huangqi (Astragali Radix), Jiudahuang (Wine-processed Rhei Radix et Rhizoma), Jixueteng (Spatholobi Caulis), Shengjiang (Zingiberis Rhizoma Recens), Huangqin (Scutellariae Radix), and Guizhi (Cinnamomi Ramulus). (ii) For the drug-drug associations, under the criteria of support ≥ 15% and confidence =  100%, seven second-order association rules, seven third-order rules, and six fourth-order roles were identified. The top-ranking rule of each was “Huangqin (Scutellariae Radix) → Huanglian (Coptidis Rhizoma)” “Ganjiang (Zingiberis Rhizoma) + Huangqin (Scutellariae Radix) → Huanglian (Coptidis Rhizoma)”, and “Baishao (Paeoniae Radix Alba) + Guizhi (Cinnamomi Ramulus) + Jixueteng (Spatholobi Caulis) → Huangqin (Scutellariae Radix)”, respectively. Alternatively, the drug-symptom associations were analyzed under the criteria of support ≥ 5% and confidence = 100%, which derived eight second-order association rules, 31 third-order rules, and 30 fourth-order rules. The top-ranking association rule of each order was “Huangqi (Astragali Radix) → Limb edema” “Guizhi (Cinnamomi Ramulus) + Jixueteng (Spatholobi Caulis) → Limb numbness and pain”, and “Guizhi (Cinnamomi Ramulus) + Jixueteng (Spatholobi Caulis) + Huangqi (Astragali Radix) → Limb numbness and pain”, respectively. Similarly, the drug-western medicine index associations were investigated under the criteria of support ≥ 5% and confidence = 100%, and five second-order association rules, 16 third-order rules, and 16 fourth-order rules were identified. In this category, the top-ranking association rule of each order was “Qinpi (Fraxini Cortex) → Uric acid” “Huanglian (Coptidis Rhizoma) + Ganjiang (Zingiberis Rhizoma) → Glycated hemoglobin”, and “Huanglian (Coptidis Rhizoma) + Ganjiang (Zingiberis Rhizoma) + Huangqin (Scutellariae Radix) → Glycated hemoglobin”, respectively.  </w:t>
      </w:r>
      <w:r>
        <w:rPr>
          <w:rFonts w:ascii="Times New Roman" w:hAnsi="宋体"/>
          <w:b w:val="true"/>
          <w:sz w:val="24"/>
          <w:szCs w:val="24"/>
        </w:rPr>
        <w:t>Conclusion</w:t>
      </w:r>
      <w:r>
        <w:rPr>
          <w:rFonts w:ascii="Times New Roman" w:hAnsi="宋体"/>
          <w:sz w:val="24"/>
          <w:szCs w:val="24"/>
        </w:rPr>
        <w:t xml:space="preserve">  Through association rule mining, this study objectively and quantitatively demonstrated the drug-drug, drug-symptom, and drug-physicochemical index associations of patients with the spleen dampness syndrome at the splenic deficiency and impairment stage treated by Academician TONG Xiaolin. The results indicated that treatment for these patients adopted the “state-target” syndrome differentiation method. The drug combination was characterized by “small prescriptions”, targeting both the patient’s symptoms and signs (syndrome target) and western medicine indices (treatment target). This study could provide references for future research on the academic thoughts and medical experience of Academician TONG Xiaolin.       </w:t>
      </w:r>
    </w:p>
    <w:p w14:paraId="2370A8A6" w14:textId="77777777" w:rsidP="002C0F41" w:rsidR="002C0F41" w:rsidRDefault="002C0F41" w:rsidRPr="001A791D">
      <w:pPr>
        <w:autoSpaceDE w:val="0"/>
        <w:autoSpaceDN w:val="0"/>
        <w:adjustRightInd w:val="0"/>
        <w:jc w:val="left"/>
        <w:rPr>
          <w:rFonts w:ascii="Times New Roman" w:hAnsi="Times New Roman"/>
          <w:color w:val="000000"/>
          <w:sz w:val="24"/>
          <w:szCs w:val="24"/>
        </w:rPr>
      </w:pPr>
    </w:p>
    <w:p w14:paraId="11240660" w14:textId="037409EA" w:rsidP="002C0F41" w:rsidR="00496C93" w:rsidRDefault="0053570B">
      <w:pPr>
        <w:autoSpaceDE w:val="0"/>
        <w:autoSpaceDN w:val="0"/>
        <w:adjustRightInd w:val="0"/>
        <w:spacing w:line="276" w:lineRule="auto"/>
        <w:jc w:val="left"/>
        <w:rPr>
          <w:rFonts w:ascii="Times New Roman" w:hAnsi="Times New Roman"/>
          <w:sz w:val="24"/>
          <w:szCs w:val="24"/>
        </w:rPr>
      </w:pPr>
      <w:r w:rsidRPr="00232F4C">
        <w:rPr>
          <w:rFonts w:ascii="Times New Roman" w:hAnsi="Times New Roman"/>
          <w:b/>
          <w:color w:val="000000"/>
          <w:sz w:val="24"/>
          <w:szCs w:val="24"/>
        </w:rPr>
        <w:t xml:space="preserve">[Key words] </w:t>
      </w:r>
      <w:r w:rsidR="00156DB6" w:rsidRPr="002500D0">
        <w:rPr>
          <w:rFonts w:ascii="Times New Roman" w:hAnsi="Times New Roman" w:hint="eastAsia"/>
          <w:sz w:val="24"/>
          <w:szCs w:val="24"/>
        </w:rPr>
        <w:t xml:space="preserve">TONG Xiaolin; Spleen dampness syndrome; New Theory on Spleen Dampness Syndrome(Pi Dan Xin Lun, 《脾瘅新论》); Deficiency and impairment stage; Data mining; Association rules</w:t>
      </w:r>
      <w:proofErr w:type="gramStart"/>
      <w:proofErr w:type="gramEnd"/>
      <w:proofErr w:type="spellStart"/>
      <w:proofErr w:type="spellEnd"/>
    </w:p>
    <w:p w14:paraId="15AD1AF2" w14:textId="514E286A" w:rsidP="00F73EB3" w:rsidR="00F73EB3" w:rsidRDefault="00F73EB3" w:rsidRPr="00F73EB3">
      <w:pPr>
        <w:autoSpaceDE w:val="0"/>
        <w:autoSpaceDN w:val="0"/>
        <w:adjustRightInd w:val="0"/>
        <w:spacing w:line="480" w:lineRule="auto"/>
        <w:jc w:val="left"/>
        <w:rPr>
          <w:rFonts w:ascii="Times New Roman" w:hAnsi="Times New Roman"/>
          <w:sz w:val="24"/>
          <w:szCs w:val="24"/>
        </w:rPr>
      </w:pPr>
      <w:r w:rsidRPr="00232F4C">
        <w:rPr>
          <w:rFonts w:ascii="Times New Roman" w:hAnsi="Times New Roman"/>
          <w:b/>
          <w:color w:val="000000"/>
          <w:sz w:val="24"/>
          <w:szCs w:val="24"/>
        </w:rPr>
        <w:t xml:space="preserve">[DOI] </w:t>
      </w:r>
      <w:r w:rsidRPr="002500D0">
        <w:rPr>
          <w:rFonts w:ascii="Times New Roman" w:hAnsi="Times New Roman" w:hint="eastAsia"/>
          <w:sz w:val="24"/>
          <w:szCs w:val="24"/>
        </w:rPr>
        <w:t>10.1016/j.dcmed.2022.03.004</w:t>
      </w:r>
      <w:proofErr w:type="spellStart"/>
      <w:proofErr w:type="spellEnd"/>
    </w:p>
    <w:p w14:paraId="09ADCC5F" w14:textId="77777777" w:rsidP="005620D6" w:rsidR="005620D6" w:rsidRDefault="005620D6">
      <w:pPr>
        <w:spacing w:line="276" w:lineRule="auto"/>
        <w:rPr>
          <w:rFonts w:ascii="Times New Roman" w:hAnsi="宋体"/>
          <w:sz w:val="24"/>
          <w:szCs w:val="24"/>
        </w:rPr>
      </w:pPr>
    </w:p>
    <w:p>
      <w:pPr>
        <w:spacing w:before="156" w:beforeLines="50" w:line="360" w:lineRule="auto"/>
        <w:jc w:val="left"/>
        <w:rPr>
          <w:rFonts w:ascii="Times New Roman" w:hAnsi="宋体"/>
          <w:sz w:val="24"/>
          <w:szCs w:val="24"/>
        </w:rPr>
      </w:pPr>
      <w:r>
        <w:rPr>
          <w:rFonts w:ascii="Times New Roman" w:hAnsi="宋体" w:hint="eastAsia"/>
          <w:b/>
          <w:sz w:val="32"/>
          <w:szCs w:val="32"/>
        </w:rPr>
        <w:t>1  Introduction</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The term “spleen dampness syndrome” first appeared in the text of </w:t>
      </w:r>
      <w:r>
        <w:rPr>
          <w:rFonts w:ascii="Times New Roman" w:hAnsi="宋体" w:hint="eastAsia"/>
          <w:i w:val="true"/>
          <w:sz w:val="24"/>
          <w:szCs w:val="24"/>
        </w:rPr>
        <w:t>Basic Questions · On Uncommon Diseases</w:t>
      </w:r>
      <w:r>
        <w:rPr>
          <w:rFonts w:ascii="Times New Roman" w:hAnsi="宋体" w:hint="eastAsia"/>
          <w:sz w:val="24"/>
          <w:szCs w:val="24"/>
        </w:rPr>
        <w:t xml:space="preserve"> (</w:t>
      </w:r>
      <w:r>
        <w:rPr>
          <w:rFonts w:ascii="Times New Roman" w:hAnsi="宋体" w:hint="eastAsia"/>
          <w:i w:val="true"/>
          <w:sz w:val="24"/>
          <w:szCs w:val="24"/>
        </w:rPr>
        <w:t>Su Wen · Qi Bing Lun</w:t>
      </w:r>
      <w:r>
        <w:rPr>
          <w:rFonts w:ascii="Times New Roman" w:hAnsi="宋体" w:hint="eastAsia"/>
          <w:sz w:val="24"/>
          <w:szCs w:val="24"/>
        </w:rPr>
        <w:t xml:space="preserve">, 《素问·奇病论》), which stated that “Patients who are sick and have a sweet taste … is because of the overflow of the five Qi, and the disease was called the spleen dampness syndrome. This occurs because the five flavors enter through the mouth and store in the stomach. Meanwhile, the spleen promotes and enhances the circulation of Qi in the stomach. As the body fluid accumulates in the spleen, the patient feels a sweet taste.” Alternatively, the </w:t>
      </w:r>
      <w:r>
        <w:rPr>
          <w:rFonts w:ascii="Times New Roman" w:hAnsi="宋体" w:hint="eastAsia"/>
          <w:i w:val="true"/>
          <w:sz w:val="24"/>
          <w:szCs w:val="24"/>
        </w:rPr>
        <w:t xml:space="preserve">General Records of Holy Universal Relief </w:t>
      </w:r>
      <w:r>
        <w:rPr>
          <w:rFonts w:ascii="Times New Roman" w:hAnsi="宋体" w:hint="eastAsia"/>
          <w:sz w:val="24"/>
          <w:szCs w:val="24"/>
        </w:rPr>
        <w:t>(</w:t>
      </w:r>
      <w:r>
        <w:rPr>
          <w:rFonts w:ascii="Times New Roman" w:hAnsi="宋体" w:hint="eastAsia"/>
          <w:i w:val="true"/>
          <w:sz w:val="24"/>
          <w:szCs w:val="24"/>
        </w:rPr>
        <w:t>Sheng Ji Zong Lu</w:t>
      </w:r>
      <w:r>
        <w:rPr>
          <w:rFonts w:ascii="Times New Roman" w:hAnsi="宋体" w:hint="eastAsia"/>
          <w:sz w:val="24"/>
          <w:szCs w:val="24"/>
        </w:rPr>
        <w:t xml:space="preserve">,《圣济总录》) wrote that “Food processed by the spleen can activate Yang and benefit Qi. However, fatty and sweet food can increase the internal heat and cause abdominal distension, thereby resulting in hyperactive Yang. The patient first feels a sweet taste and later becomes thirsty when not treated in time, which is because of the overflow of the excessive interior heat.” The spleen dampness syndrome covers multiple diseases in modern medicine, such as diabetes, insulin resistance, obesity, etc. </w:t>
      </w:r>
      <w:r>
        <w:rPr>
          <w:rFonts w:ascii="Times New Roman" w:hAnsi="宋体" w:hint="eastAsia"/>
          <w:sz w:val="24"/>
          <w:szCs w:val="24"/>
          <w:vertAlign w:val="superscript"/>
        </w:rPr>
        <w:t>[</w:t>
      </w:r>
      <w:r>
        <w:rPr>
          <w:rFonts w:ascii="Times New Roman" w:hAnsi="宋体" w:hint="eastAsia"/>
          <w:sz w:val="24"/>
          <w:szCs w:val="24"/>
          <w:vertAlign w:val="superscript"/>
        </w:rPr>
        <w:t>1</w:t>
      </w:r>
      <w:r>
        <w:rPr>
          <w:rFonts w:ascii="Times New Roman" w:hAnsi="宋体" w:hint="eastAsia"/>
          <w:sz w:val="24"/>
          <w:szCs w:val="24"/>
          <w:vertAlign w:val="superscript"/>
        </w:rPr>
        <w:t>-</w:t>
      </w:r>
      <w:r>
        <w:rPr>
          <w:rFonts w:ascii="Times New Roman" w:hAnsi="宋体" w:hint="eastAsia"/>
          <w:sz w:val="24"/>
          <w:szCs w:val="24"/>
          <w:vertAlign w:val="superscript"/>
        </w:rPr>
        <w:t>3</w:t>
      </w:r>
      <w:r>
        <w:rPr>
          <w:rFonts w:ascii="Times New Roman" w:hAnsi="宋体" w:hint="eastAsia"/>
          <w:sz w:val="24"/>
          <w:szCs w:val="24"/>
          <w:vertAlign w:val="superscript"/>
        </w:rPr>
        <w:t>]</w:t>
      </w:r>
      <w:r>
        <w:rPr>
          <w:rFonts w:ascii="Times New Roman" w:hAnsi="宋体" w:hint="eastAsia"/>
          <w:sz w:val="24"/>
          <w:szCs w:val="24"/>
        </w:rPr>
        <w:t xml:space="preserve">. Academician TONG Xiaolin divided the development of the spleen dampness syndrome into four stages, i.e., stagnation, heat, deficiency, and impairment </w:t>
      </w:r>
      <w:r>
        <w:rPr>
          <w:rFonts w:ascii="Times New Roman" w:hAnsi="宋体" w:hint="eastAsia"/>
          <w:sz w:val="24"/>
          <w:szCs w:val="24"/>
          <w:vertAlign w:val="superscript"/>
        </w:rPr>
        <w:t>[</w:t>
      </w:r>
      <w:r>
        <w:rPr>
          <w:rFonts w:ascii="Times New Roman" w:hAnsi="宋体" w:hint="eastAsia"/>
          <w:sz w:val="24"/>
          <w:szCs w:val="24"/>
          <w:vertAlign w:val="superscript"/>
        </w:rPr>
        <w:t>4</w:t>
      </w:r>
      <w:r>
        <w:rPr>
          <w:rFonts w:ascii="Times New Roman" w:hAnsi="宋体" w:hint="eastAsia"/>
          <w:sz w:val="24"/>
          <w:szCs w:val="24"/>
          <w:vertAlign w:val="superscript"/>
        </w:rPr>
        <w:t>]</w:t>
      </w:r>
      <w:r>
        <w:rPr>
          <w:rFonts w:ascii="Times New Roman" w:hAnsi="宋体" w:hint="eastAsia"/>
          <w:sz w:val="24"/>
          <w:szCs w:val="24"/>
        </w:rPr>
        <w:t>, and creatively proposed the treatment principle of “state-target causality” based on relevant pathological mechanisms. Of the four stages, the deficiency and impairment stages are equivalent to the middle and late stages of the spleen dampness syndrome, with a more complicated pathogenesis than that of the other two stages. The deficiency stage features various deficiencies as the main contradictions, manifested as spleen deficiency, Qi-Yin deficiency, Yang deficiency of the spleen and the kidney, etc. The impairment stage is characterized by collateral damage (microvascular disease), vascular damage (macrovascular disease), and resultant impairment to the viscera. Therefore, treatment of patients in the splenic deficiency and impairment stage should utilize drugs that not only benefit Qi, warm Yang, eliminate phlegm, and regulate Qi, but also invigorate the blood circulation, nourish the blood, and activate the channels.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On the basis of theories on the spleen dampness syndrome in the </w:t>
      </w:r>
      <w:r>
        <w:rPr>
          <w:rFonts w:ascii="Times New Roman" w:hAnsi="宋体" w:hint="eastAsia"/>
          <w:i w:val="true"/>
          <w:sz w:val="24"/>
          <w:szCs w:val="24"/>
        </w:rPr>
        <w:t>Yellow Emperor’s Inner Classic</w:t>
      </w:r>
      <w:r>
        <w:rPr>
          <w:rFonts w:ascii="Times New Roman" w:hAnsi="宋体" w:hint="eastAsia"/>
          <w:sz w:val="24"/>
          <w:szCs w:val="24"/>
        </w:rPr>
        <w:t xml:space="preserve"> (</w:t>
      </w:r>
      <w:r>
        <w:rPr>
          <w:rFonts w:ascii="Times New Roman" w:hAnsi="宋体" w:hint="eastAsia"/>
          <w:i w:val="true"/>
          <w:sz w:val="24"/>
          <w:szCs w:val="24"/>
        </w:rPr>
        <w:t>Huang Di Nei Jing</w:t>
      </w:r>
      <w:r>
        <w:rPr>
          <w:rFonts w:ascii="Times New Roman" w:hAnsi="宋体" w:hint="eastAsia"/>
          <w:sz w:val="24"/>
          <w:szCs w:val="24"/>
        </w:rPr>
        <w:t>, 《黄帝内经》), the “</w:t>
      </w:r>
      <w:r>
        <w:rPr>
          <w:rFonts w:ascii="Times New Roman" w:hAnsi="宋体" w:hint="eastAsia"/>
          <w:i w:val="true"/>
          <w:sz w:val="24"/>
          <w:szCs w:val="24"/>
        </w:rPr>
        <w:t>New Theory on Spleen Dampness Syndrome – Understanding and Treatment of the Metabolic Syndrome from the Perspective of Traditional Chinese Medicine</w:t>
      </w:r>
      <w:r>
        <w:rPr>
          <w:rFonts w:ascii="Times New Roman" w:hAnsi="宋体" w:hint="eastAsia"/>
          <w:sz w:val="24"/>
          <w:szCs w:val="24"/>
        </w:rPr>
        <w:t xml:space="preserve">” </w:t>
      </w:r>
      <w:r>
        <w:rPr>
          <w:rFonts w:ascii="Times New Roman" w:hAnsi="宋体" w:hint="eastAsia"/>
          <w:sz w:val="24"/>
          <w:szCs w:val="24"/>
          <w:vertAlign w:val="superscript"/>
        </w:rPr>
        <w:t>[</w:t>
      </w:r>
      <w:r>
        <w:rPr>
          <w:rFonts w:ascii="Times New Roman" w:hAnsi="宋体" w:hint="eastAsia"/>
          <w:sz w:val="24"/>
          <w:szCs w:val="24"/>
          <w:vertAlign w:val="superscript"/>
        </w:rPr>
        <w:t>5</w:t>
      </w:r>
      <w:r>
        <w:rPr>
          <w:rFonts w:ascii="Times New Roman" w:hAnsi="宋体" w:hint="eastAsia"/>
          <w:sz w:val="24"/>
          <w:szCs w:val="24"/>
          <w:vertAlign w:val="superscript"/>
        </w:rPr>
        <w:t>]</w:t>
      </w:r>
      <w:r>
        <w:rPr>
          <w:rFonts w:ascii="Times New Roman" w:hAnsi="宋体" w:hint="eastAsia"/>
          <w:sz w:val="24"/>
          <w:szCs w:val="24"/>
        </w:rPr>
        <w:t xml:space="preserve"> [hereinafter referred to as the </w:t>
      </w:r>
      <w:r>
        <w:rPr>
          <w:rFonts w:ascii="Times New Roman" w:hAnsi="宋体" w:hint="eastAsia"/>
          <w:i w:val="true"/>
          <w:sz w:val="24"/>
          <w:szCs w:val="24"/>
        </w:rPr>
        <w:t>New Theory on Spleen Dampness Syndrome</w:t>
      </w:r>
      <w:r>
        <w:rPr>
          <w:rFonts w:ascii="Times New Roman" w:hAnsi="宋体" w:hint="eastAsia"/>
          <w:sz w:val="24"/>
          <w:szCs w:val="24"/>
        </w:rPr>
        <w:t xml:space="preserve"> (</w:t>
      </w:r>
      <w:r>
        <w:rPr>
          <w:rFonts w:ascii="Times New Roman" w:hAnsi="宋体" w:hint="eastAsia"/>
          <w:i w:val="true"/>
          <w:sz w:val="24"/>
          <w:szCs w:val="24"/>
        </w:rPr>
        <w:t>Pi Dan Xin Lun</w:t>
      </w:r>
      <w:r>
        <w:rPr>
          <w:rFonts w:ascii="Times New Roman" w:hAnsi="宋体" w:hint="eastAsia"/>
          <w:sz w:val="24"/>
          <w:szCs w:val="24"/>
        </w:rPr>
        <w:t>, 《脾瘅新论》)] linked the spleen dampness syndrome with the metabolic syndrome, thereby realizing the implementation of  traditional Chinese medicine (TCM) theories in the treatment of  the metabolic syndrome, a modern disease, for the first time. This study adopted frequency analysis and association rule mining to systematically analyze the basic information, drug characteristics, prescription rules, and drug-symptom relationships of patients with the spleen dampness syndrome at the deficiency and impairment stage, who were treated by Academician TONG Xiaolin.</w:t>
      </w:r>
    </w:p>
    <w:p>
      <w:pPr>
        <w:spacing w:before="156" w:beforeLines="50" w:line="360" w:lineRule="auto"/>
        <w:jc w:val="left"/>
        <w:rPr>
          <w:rFonts w:ascii="Times New Roman" w:hAnsi="宋体"/>
          <w:sz w:val="24"/>
          <w:szCs w:val="24"/>
        </w:rPr>
      </w:pPr>
      <w:r>
        <w:rPr>
          <w:rFonts w:ascii="Times New Roman" w:hAnsi="宋体" w:hint="eastAsia"/>
          <w:b/>
          <w:sz w:val="32"/>
          <w:szCs w:val="32"/>
        </w:rPr>
        <w:t>2  Materials and methods</w:t>
      </w:r>
    </w:p>
    <w:p>
      <w:pPr>
        <w:spacing w:before="156" w:beforeLines="50" w:line="360" w:lineRule="auto"/>
        <w:jc w:val="left"/>
        <w:rPr>
          <w:rFonts w:ascii="Times New Roman" w:hAnsi="宋体"/>
          <w:sz w:val="24"/>
          <w:szCs w:val="24"/>
        </w:rPr>
      </w:pPr>
      <w:r>
        <w:rPr>
          <w:rFonts w:ascii="Times New Roman" w:hAnsi="宋体" w:hint="eastAsia"/>
          <w:b/>
          <w:sz w:val="26"/>
          <w:szCs w:val="32"/>
        </w:rPr>
        <w:t>2.1  Data source</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Medical records (during the period of January 2004 to December 2016) under the </w:t>
      </w:r>
      <w:r>
        <w:rPr>
          <w:rFonts w:ascii="Times New Roman" w:hAnsi="宋体" w:hint="eastAsia"/>
          <w:i w:val="true"/>
          <w:sz w:val="24"/>
          <w:szCs w:val="24"/>
        </w:rPr>
        <w:t>New Theory on Spleen Dampness Syndrome</w:t>
      </w:r>
      <w:r>
        <w:rPr>
          <w:rFonts w:ascii="Times New Roman" w:hAnsi="宋体" w:hint="eastAsia"/>
          <w:sz w:val="24"/>
          <w:szCs w:val="24"/>
        </w:rPr>
        <w:t xml:space="preserve"> were collected. Subsequently, the patients’ data, including name, gender, age, treatment time, height, weight, body mass index (BMI), clinical symptoms and signs, laboratory examination results, western medical diagnosis, TCM diagnosis, TCM syndrome differentiation, TCM treatment records, prescription drugs, etc., were analyzed.</w:t>
      </w:r>
    </w:p>
    <w:p>
      <w:pPr>
        <w:spacing w:before="156" w:beforeLines="50" w:line="360" w:lineRule="auto"/>
        <w:jc w:val="left"/>
        <w:rPr>
          <w:rFonts w:ascii="Times New Roman" w:hAnsi="宋体"/>
          <w:sz w:val="24"/>
          <w:szCs w:val="24"/>
        </w:rPr>
      </w:pPr>
      <w:r>
        <w:rPr>
          <w:rFonts w:ascii="Times New Roman" w:hAnsi="宋体" w:hint="eastAsia"/>
          <w:b/>
          <w:sz w:val="26"/>
          <w:szCs w:val="32"/>
        </w:rPr>
        <w:t>2.2  Medical record selection criteria</w:t>
      </w:r>
    </w:p>
    <w:p>
      <w:pPr>
        <w:spacing w:before="156" w:beforeLines="50" w:line="360" w:lineRule="auto"/>
        <w:jc w:val="left"/>
        <w:rPr>
          <w:rFonts w:ascii="Times New Roman" w:hAnsi="宋体"/>
          <w:sz w:val="24"/>
          <w:szCs w:val="24"/>
        </w:rPr>
      </w:pPr>
      <w:r>
        <w:rPr>
          <w:rFonts w:ascii="Times New Roman" w:hAnsi="宋体" w:hint="eastAsia"/>
          <w:b/>
          <w:sz w:val="24"/>
          <w:szCs w:val="32"/>
        </w:rPr>
        <w:t>2.2.1  Inclusion criteria</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(i) Patients recorded according to the </w:t>
      </w:r>
      <w:r>
        <w:rPr>
          <w:rFonts w:ascii="Times New Roman" w:hAnsi="宋体" w:hint="eastAsia"/>
          <w:i w:val="true"/>
          <w:sz w:val="24"/>
          <w:szCs w:val="24"/>
        </w:rPr>
        <w:t>New Theory on Spleen Dampness Syndrome</w:t>
      </w:r>
      <w:r>
        <w:rPr>
          <w:rFonts w:ascii="Times New Roman" w:hAnsi="宋体" w:hint="eastAsia"/>
          <w:sz w:val="24"/>
          <w:szCs w:val="24"/>
        </w:rPr>
        <w:t xml:space="preserve">, who were diagnosed with the metabolic syndrome by western medicine and the spleen dampness syndrome at the deficiency and impairment stage by TCM were selected. The diagnostic criteria for the metabolic syndrome were according to the “Standard of care of type 2 diabetes in China (Version 2020) (Volume 2)” formulated by the Diabetes Branch of the Chinese Medical Association </w:t>
      </w:r>
      <w:r>
        <w:rPr>
          <w:rFonts w:ascii="Times New Roman" w:hAnsi="宋体" w:hint="eastAsia"/>
          <w:sz w:val="24"/>
          <w:szCs w:val="24"/>
          <w:vertAlign w:val="superscript"/>
        </w:rPr>
        <w:t>[</w:t>
      </w:r>
      <w:r>
        <w:rPr>
          <w:rFonts w:ascii="Times New Roman" w:hAnsi="宋体" w:hint="eastAsia"/>
          <w:sz w:val="24"/>
          <w:szCs w:val="24"/>
          <w:vertAlign w:val="superscript"/>
        </w:rPr>
        <w:t>6</w:t>
      </w:r>
      <w:r>
        <w:rPr>
          <w:rFonts w:ascii="Times New Roman" w:hAnsi="宋体" w:hint="eastAsia"/>
          <w:sz w:val="24"/>
          <w:szCs w:val="24"/>
          <w:vertAlign w:val="superscript"/>
        </w:rPr>
        <w:t>]</w:t>
      </w:r>
      <w:r>
        <w:rPr>
          <w:rFonts w:ascii="Times New Roman" w:hAnsi="宋体" w:hint="eastAsia"/>
          <w:sz w:val="24"/>
          <w:szCs w:val="24"/>
        </w:rPr>
        <w:t xml:space="preserve">. More specifically, a patient was diagnosed with metabolic syndrome if he or she met three or more of the following criteria. (a) Abdominal obesity (central obesity): waist circumference ≥ 90 cm in male and ≥ 85 cm in female; (b) hyperglycemia: fasting blood glucose ≥ 6.1 mmol/L or blood glucose ≥ 7.8 mmol/L 2 h after glucose load, and/or patients who were already diagnosed with diabetes and were receiving treatment; (c) hypertension: blood pressure ≥130/85 mmHg (1 mmHg =  0.133 kPa), and/or patients who were already diagnosed with hypertension and were receiving treatment; (d) fasting triglyceride (TG) ≥ 1.70 mmol/L; and (e) fasting high density liptein cholesterol (HDL-C) </w:t>
      </w:r>
      <w:r>
        <w:rPr>
          <w:rFonts w:ascii="Times New Roman" w:hAnsi="宋体" w:hint="eastAsia"/>
          <w:sz w:val="24"/>
          <w:szCs w:val="24"/>
        </w:rPr>
        <w:t>&lt;</w:t>
      </w:r>
      <w:r>
        <w:rPr>
          <w:rFonts w:ascii="Times New Roman" w:hAnsi="宋体" w:hint="eastAsia"/>
          <w:sz w:val="24"/>
          <w:szCs w:val="24"/>
        </w:rPr>
        <w:t xml:space="preserve"> 1.04  mmol/L. Alternatively, for the staging of the spleen dampness syndrome, the patient’s disease was categorized as the deficiency stage if he or she had syndromes of spleen deficiency and Qi stagnation, and retained mass of middle energizer; exterior Yang deficiency, and heat concentration in the stomach; spleen deficiency and wind-phlegm disturbance; Yin deficiency of the liver and kidney, and hyperactivity of liver Yang; stagnation of Yang Qi, and retention of water-dampness; spleen deficiency and stomach heat, and intermingled cold and heat; hyperactivity of fire due to Yin deficiency; and upper heat and lower cold. In contrast, the disease was categorized as the impairment stage if he or she had syndromes of deficiency-cold of the spleen and stomach; deficiency of kidney Yang; obstruction of collaterals; weakness of the spleen and stomach, and interior heat stagnation; spleen deficiency and Qi sinking; Qi deficiency and blood stasis during stroke; Qi deficiency and blood stasis; and intermingled phlegm and blood stasis. (ii) The prescription in the medical record listed the specific TCM compositions. (iii) In addition to the main symptom, at least two or more secondary symptoms as well as the conditions of both the tongue and the pulse were described in the medical record.</w:t>
      </w:r>
    </w:p>
    <w:p>
      <w:pPr>
        <w:spacing w:before="156" w:beforeLines="50" w:line="360" w:lineRule="auto"/>
        <w:jc w:val="left"/>
        <w:rPr>
          <w:rFonts w:ascii="Times New Roman" w:hAnsi="宋体"/>
          <w:sz w:val="24"/>
          <w:szCs w:val="24"/>
        </w:rPr>
      </w:pPr>
      <w:r>
        <w:rPr>
          <w:rFonts w:ascii="Times New Roman" w:hAnsi="宋体" w:hint="eastAsia"/>
          <w:b/>
          <w:sz w:val="24"/>
          <w:szCs w:val="32"/>
        </w:rPr>
        <w:t>2.2.2  Exclusion criteria</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(i) Cases where oral administration of TCM was not the primary treatment method. (ii) Patients were treated with a single prescription. (iii) Patients whose spleen dampness syndrome was complicated with tumor or the failure of heart, liver, kidney, and other organs. (iv) Duplicate sets of medical records.</w:t>
      </w:r>
    </w:p>
    <w:p>
      <w:pPr>
        <w:spacing w:before="156" w:beforeLines="50" w:line="360" w:lineRule="auto"/>
        <w:jc w:val="left"/>
        <w:rPr>
          <w:rFonts w:ascii="Times New Roman" w:hAnsi="宋体"/>
          <w:sz w:val="24"/>
          <w:szCs w:val="24"/>
        </w:rPr>
      </w:pPr>
      <w:r>
        <w:rPr>
          <w:rFonts w:ascii="Times New Roman" w:hAnsi="宋体" w:hint="eastAsia"/>
          <w:b/>
          <w:sz w:val="26"/>
          <w:szCs w:val="32"/>
        </w:rPr>
        <w:t>2.3  Database establishment</w:t>
      </w:r>
    </w:p>
    <w:p>
      <w:pPr>
        <w:spacing w:before="156" w:beforeLines="50" w:line="360" w:lineRule="auto"/>
        <w:jc w:val="left"/>
        <w:rPr>
          <w:rFonts w:ascii="Times New Roman" w:hAnsi="宋体"/>
          <w:sz w:val="24"/>
          <w:szCs w:val="24"/>
        </w:rPr>
      </w:pPr>
      <w:r>
        <w:rPr>
          <w:rFonts w:ascii="Times New Roman" w:hAnsi="宋体" w:hint="eastAsia"/>
          <w:b/>
          <w:sz w:val="24"/>
          <w:szCs w:val="32"/>
        </w:rPr>
        <w:t>2.3.1  Data entry</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A database was established in Epidata 3.1 by entering the detailed information of patients with the spleen dampness syndrome treated by Academician TONG Xiaolin. A total of 117 input fields were selected, including the patients’ name, age, occupation, treatment time, height, weight, BMI, chill and fever symptoms, sweat, sleep, stool, urination, diet, thirst, past history, tongue condition, pulse condition, TCM diagnosis, syndrome differentiation, TCM treatment method, and specific prescriptions, etc.</w:t>
      </w:r>
    </w:p>
    <w:p>
      <w:pPr>
        <w:spacing w:before="156" w:beforeLines="50" w:line="360" w:lineRule="auto"/>
        <w:jc w:val="left"/>
        <w:rPr>
          <w:rFonts w:ascii="Times New Roman" w:hAnsi="宋体"/>
          <w:sz w:val="24"/>
          <w:szCs w:val="24"/>
        </w:rPr>
      </w:pPr>
      <w:r>
        <w:rPr>
          <w:rFonts w:ascii="Times New Roman" w:hAnsi="宋体" w:hint="eastAsia"/>
          <w:b/>
          <w:sz w:val="24"/>
          <w:szCs w:val="32"/>
        </w:rPr>
        <w:t>2.3.2  Data mining</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A medical record analysis data stream (</w:t>
      </w:r>
      <w:r>
        <w:rPr>
          <w:rFonts w:ascii="Times New Roman" w:hAnsi="宋体" w:hint="eastAsia"/>
          <w:sz w:val="24"/>
          <w:szCs w:val="24"/>
        </w:rPr>
        <w:t>Figure 1</w:t>
      </w:r>
      <w:r>
        <w:rPr>
          <w:rFonts w:ascii="Times New Roman" w:hAnsi="宋体" w:hint="eastAsia"/>
          <w:sz w:val="24"/>
          <w:szCs w:val="24"/>
        </w:rPr>
        <w:t xml:space="preserve">) was first developed, after which the Apriori algorithm provided in the SPSS Modeler 14.2 statistical software was adopted for association rule mining. The association rule mining process shown in this research mainly included two stages. In the first stage, all frequent item sets were identified from the dataset. Association rules </w:t>
      </w:r>
      <w:r>
        <w:rPr>
          <w:rFonts w:ascii="Times New Roman" w:hAnsi="宋体" w:hint="eastAsia"/>
          <w:sz w:val="24"/>
          <w:szCs w:val="24"/>
          <w:vertAlign w:val="superscript"/>
        </w:rPr>
        <w:t>[</w:t>
      </w:r>
      <w:r>
        <w:rPr>
          <w:rFonts w:ascii="Times New Roman" w:hAnsi="宋体" w:hint="eastAsia"/>
          <w:sz w:val="24"/>
          <w:szCs w:val="24"/>
          <w:vertAlign w:val="superscript"/>
        </w:rPr>
        <w:t>7</w:t>
      </w:r>
      <w:r>
        <w:rPr>
          <w:rFonts w:ascii="Times New Roman" w:hAnsi="宋体" w:hint="eastAsia"/>
          <w:sz w:val="24"/>
          <w:szCs w:val="24"/>
          <w:vertAlign w:val="superscript"/>
        </w:rPr>
        <w:t>]</w:t>
      </w:r>
      <w:r>
        <w:rPr>
          <w:rFonts w:ascii="Times New Roman" w:hAnsi="宋体" w:hint="eastAsia"/>
          <w:sz w:val="24"/>
          <w:szCs w:val="24"/>
        </w:rPr>
        <w:t xml:space="preserve"> were then generated from these frequent item sets, followed by analysis based on the number of the common appearances of items, i.e., the association rules were based on the principle of “the simultaneous occurrence of frequent items” </w:t>
      </w:r>
      <w:r>
        <w:rPr>
          <w:rFonts w:ascii="Times New Roman" w:hAnsi="宋体" w:hint="eastAsia"/>
          <w:sz w:val="24"/>
          <w:szCs w:val="24"/>
          <w:vertAlign w:val="superscript"/>
        </w:rPr>
        <w:t>[</w:t>
      </w:r>
      <w:r>
        <w:rPr>
          <w:rFonts w:ascii="Times New Roman" w:hAnsi="宋体" w:hint="eastAsia"/>
          <w:sz w:val="24"/>
          <w:szCs w:val="24"/>
          <w:vertAlign w:val="superscript"/>
        </w:rPr>
        <w:t>8</w:t>
      </w:r>
      <w:r>
        <w:rPr>
          <w:rFonts w:ascii="Times New Roman" w:hAnsi="宋体" w:hint="eastAsia"/>
          <w:sz w:val="24"/>
          <w:szCs w:val="24"/>
          <w:vertAlign w:val="superscript"/>
        </w:rPr>
        <w:t>]</w:t>
      </w:r>
      <w:r>
        <w:rPr>
          <w:rFonts w:ascii="Times New Roman" w:hAnsi="宋体" w:hint="eastAsia"/>
          <w:sz w:val="24"/>
          <w:szCs w:val="24"/>
        </w:rPr>
        <w:t>. The analysis results were expressed in terms of “Support” “Confidence”, and “Lift”. “Support” refers to the ratio of the number of transactions containing A and B to the total number of transactions. If the proportion of transactions containing A is P (A), then Support = P (A</w:t>
      </w:r>
      <w:r>
        <w:rPr>
          <w:rFonts w:ascii="Times New Roman" w:hAnsi="宋体" w:hint="eastAsia"/>
          <w:sz w:val="24"/>
          <w:szCs w:val="24"/>
        </w:rPr>
        <w:t>&amp;</w:t>
      </w:r>
      <w:r>
        <w:rPr>
          <w:rFonts w:ascii="Times New Roman" w:hAnsi="宋体" w:hint="eastAsia"/>
          <w:sz w:val="24"/>
          <w:szCs w:val="24"/>
        </w:rPr>
        <w:t>B). Alternatively, “Confidence” refers to the ratio of the number of transactions containing both A and B to the number of transactions that contain A, i.e., Confidence = P (A</w:t>
      </w:r>
      <w:r>
        <w:rPr>
          <w:rFonts w:ascii="Times New Roman" w:hAnsi="宋体" w:hint="eastAsia"/>
          <w:sz w:val="24"/>
          <w:szCs w:val="24"/>
        </w:rPr>
        <w:t>&amp;</w:t>
      </w:r>
      <w:r>
        <w:rPr>
          <w:rFonts w:ascii="Times New Roman" w:hAnsi="宋体" w:hint="eastAsia"/>
          <w:sz w:val="24"/>
          <w:szCs w:val="24"/>
        </w:rPr>
        <w:t>B)/P (A). Lastly, “Lift” refers to the ratio of the “proportion of transactions containing A that also contain B” to the “proportion of transactions containing B”, i.e., Lift = [P (A</w:t>
      </w:r>
      <w:r>
        <w:rPr>
          <w:rFonts w:ascii="Times New Roman" w:hAnsi="宋体" w:hint="eastAsia"/>
          <w:sz w:val="24"/>
          <w:szCs w:val="24"/>
        </w:rPr>
        <w:t>&amp;</w:t>
      </w:r>
      <w:r>
        <w:rPr>
          <w:rFonts w:ascii="Times New Roman" w:hAnsi="宋体" w:hint="eastAsia"/>
          <w:sz w:val="24"/>
          <w:szCs w:val="24"/>
        </w:rPr>
        <w:t>B)/P (A)]/P (B)= P (A</w:t>
      </w:r>
      <w:r>
        <w:rPr>
          <w:rFonts w:ascii="Times New Roman" w:hAnsi="宋体" w:hint="eastAsia"/>
          <w:sz w:val="24"/>
          <w:szCs w:val="24"/>
        </w:rPr>
        <w:t>&amp;</w:t>
      </w:r>
      <w:r>
        <w:rPr>
          <w:rFonts w:ascii="Times New Roman" w:hAnsi="宋体" w:hint="eastAsia"/>
          <w:sz w:val="24"/>
          <w:szCs w:val="24"/>
        </w:rPr>
        <w:t>B)/P (A)/P (B).</w:t>
      </w:r>
    </w:p>
    <w:p>
      <w:pPr>
        <w:spacing w:before="200" w:after="100"/>
        <w:jc w:val="center"/>
      </w:pPr>
      <w:r>
        <w:drawing>
          <wp:inline distT="0" distR="0" distB="0" distL="0">
            <wp:extent cx="2736342" cy="1346454"/>
            <wp:docPr id="0" name="Drawing 0" descr="zhengjinghui-1.jpg"/>
            <a:graphic xmlns:a="http://schemas.openxmlformats.org/drawingml/2006/main">
              <a:graphicData uri="http://schemas.openxmlformats.org/drawingml/2006/picture">
                <pic:pic xmlns:pic="http://schemas.openxmlformats.org/drawingml/2006/picture">
                  <pic:nvPicPr>
                    <pic:cNvPr id="0" name="Picture 0" descr="zhengjinghui-1.jpg"/>
                    <pic:cNvPicPr>
                      <a:picLocks noChangeAspect="true"/>
                    </pic:cNvPicPr>
                  </pic:nvPicPr>
                  <pic:blipFill>
                    <a:blip r:embed="rId9"/>
                    <a:stretch>
                      <a:fillRect/>
                    </a:stretch>
                  </pic:blipFill>
                  <pic:spPr>
                    <a:xfrm>
                      <a:off x="0" y="0"/>
                      <a:ext cx="2736342" cy="1346454"/>
                    </a:xfrm>
                    <a:prstGeom prst="rect">
                      <a:avLst/>
                    </a:prstGeom>
                  </pic:spPr>
                </pic:pic>
              </a:graphicData>
            </a:graphic>
          </wp:inline>
        </w:drawing>
      </w:r>
    </w:p>
    <w:p>
      <w:pPr>
        <w:spacing w:after="200"/>
        <w:jc w:val="center"/>
      </w:pPr>
      <w:r>
        <w:rPr>
          <w:b w:val="true"/>
        </w:rPr>
        <w:t xml:space="preserve">Fig. 1  </w:t>
      </w:r>
      <w:r>
        <w:rPr>
          <w:b w:val="true"/>
        </w:rPr>
        <w:t>Data stream of the association rule analysis of patients with the spleen dampness syndrome treated by Academician TONG Xiaolin</w:t>
      </w:r>
    </w:p>
    <w:p>
      <w:pPr>
        <w:spacing w:before="156" w:beforeLines="50" w:line="360" w:lineRule="auto"/>
        <w:jc w:val="left"/>
        <w:rPr>
          <w:rFonts w:ascii="Times New Roman" w:hAnsi="宋体"/>
          <w:sz w:val="24"/>
          <w:szCs w:val="24"/>
        </w:rPr>
      </w:pPr>
      <w:r>
        <w:rPr>
          <w:rFonts w:ascii="Times New Roman" w:hAnsi="宋体" w:hint="eastAsia"/>
          <w:b/>
          <w:sz w:val="32"/>
          <w:szCs w:val="32"/>
        </w:rPr>
        <w:t>3  Results</w:t>
      </w:r>
    </w:p>
    <w:p>
      <w:pPr>
        <w:spacing w:before="156" w:beforeLines="50" w:line="360" w:lineRule="auto"/>
        <w:jc w:val="left"/>
        <w:rPr>
          <w:rFonts w:ascii="Times New Roman" w:hAnsi="宋体"/>
          <w:sz w:val="24"/>
          <w:szCs w:val="24"/>
        </w:rPr>
      </w:pPr>
      <w:r>
        <w:rPr>
          <w:rFonts w:ascii="Times New Roman" w:hAnsi="宋体" w:hint="eastAsia"/>
          <w:b/>
          <w:sz w:val="26"/>
          <w:szCs w:val="32"/>
        </w:rPr>
        <w:t xml:space="preserve">3.1  Frequency analysis of medical records under the </w:t>
      </w:r>
      <w:r>
        <w:rPr>
          <w:rFonts w:ascii="Times New Roman" w:hAnsi="宋体" w:hint="eastAsia"/>
          <w:b/>
          <w:i w:val="true"/>
          <w:sz w:val="26"/>
          <w:szCs w:val="32"/>
        </w:rPr>
        <w:t>New Theory on Spleen Dampness Syndrome</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A total of 51 medical records were included in this study, including 17 types of syndromes (</w:t>
      </w:r>
      <w:r>
        <w:rPr>
          <w:rFonts w:ascii="Times New Roman" w:hAnsi="宋体" w:hint="eastAsia"/>
          <w:sz w:val="24"/>
          <w:szCs w:val="24"/>
        </w:rPr>
        <w:t>Table 1</w:t>
      </w:r>
      <w:r>
        <w:rPr>
          <w:rFonts w:ascii="Times New Roman" w:hAnsi="宋体" w:hint="eastAsia"/>
          <w:sz w:val="24"/>
          <w:szCs w:val="24"/>
        </w:rPr>
        <w:t>), 14 treatment methods (</w:t>
      </w:r>
      <w:r>
        <w:rPr>
          <w:rFonts w:ascii="Times New Roman" w:hAnsi="宋体" w:hint="eastAsia"/>
          <w:sz w:val="24"/>
          <w:szCs w:val="24"/>
        </w:rPr>
        <w:t>Table 2</w:t>
      </w:r>
      <w:r>
        <w:rPr>
          <w:rFonts w:ascii="Times New Roman" w:hAnsi="宋体" w:hint="eastAsia"/>
          <w:sz w:val="24"/>
          <w:szCs w:val="24"/>
        </w:rPr>
        <w:t>, where other denotes homemade prescriptions), and 15 prescriptions (</w:t>
      </w:r>
      <w:r>
        <w:rPr>
          <w:rFonts w:ascii="Times New Roman" w:hAnsi="宋体" w:hint="eastAsia"/>
          <w:sz w:val="24"/>
          <w:szCs w:val="24"/>
        </w:rPr>
        <w:t>Table 3</w:t>
      </w:r>
      <w:r>
        <w:rPr>
          <w:rFonts w:ascii="Times New Roman" w:hAnsi="宋体" w:hint="eastAsia"/>
          <w:sz w:val="24"/>
          <w:szCs w:val="24"/>
        </w:rPr>
        <w:t>). In addition, 83 types of drugs were used for a total of 476 times, 14 of which had a frequency of more than 10 (</w:t>
      </w:r>
      <w:r>
        <w:rPr>
          <w:rFonts w:ascii="Times New Roman" w:hAnsi="宋体" w:hint="eastAsia"/>
          <w:sz w:val="24"/>
          <w:szCs w:val="24"/>
        </w:rPr>
        <w:t>Table 4</w:t>
      </w:r>
      <w:r>
        <w:rPr>
          <w:rFonts w:ascii="Times New Roman" w:hAnsi="宋体" w:hint="eastAsia"/>
          <w:sz w:val="24"/>
          <w:szCs w:val="24"/>
        </w:rPr>
        <w:t>). Among the different syndromes, phlegm and blood stasis had a frequency of six times and a relative frequency of 11.76%. Among the different treatment methods, activating Yang and eliminating turbidity together with removing phlegm and dredging channel blockage had a frequency of five times and a relative frequency of 9.80%. Among the different prescriptions, Huangqi Guizhi Wuwu Tang (黄芪桂枝五物汤) had a frequency of seven times and a relative frequency of 13.73%. Among the different drugs, Huanglian (Coptidis Rhizoma) had a frequency of 30 times. The proportion of drugs with a relative frequency (ratio of the frequency of the drug divided by the total number of medical records) of 1 was 58.82%, and that of drugs with a relative frequency of 2 was 6.30%.</w:t>
      </w:r>
    </w:p>
    <w:p>
      <w:pPr>
        <w:ind w:firstLine="480" w:firstLineChars="200"/>
        <w:rPr>
          <w:rFonts w:ascii="Times New Roman" w:hAnsi="宋体"/>
          <w:sz w:val="24"/>
          <w:szCs w:val="24"/>
        </w:rPr>
      </w:pPr>
    </w:p>
    <w:p>
      <w:pPr>
        <w:spacing w:after="156" w:afterLines="50" w:line="360" w:lineRule="auto"/>
        <w:ind w:firstLine="482" w:firstLineChars="200"/>
        <w:jc w:val="center"/>
        <w:rPr>
          <w:rFonts w:ascii="Times New Roman" w:hAnsi="宋体"/>
          <w:sz w:val="24"/>
          <w:szCs w:val="24"/>
        </w:rPr>
      </w:pPr>
      <w:r>
        <w:rPr>
          <w:rFonts w:ascii="Times New Roman" w:hAnsi="宋体" w:hint="eastAsia"/>
          <w:b/>
          <w:bCs/>
          <w:sz w:val="24"/>
          <w:szCs w:val="24"/>
        </w:rPr>
        <w:t xml:space="preserve">Table 1 </w:t>
      </w:r>
      <w:r>
        <w:rPr>
          <w:rFonts w:ascii="Times New Roman" w:hAnsi="宋体" w:hint="eastAsia"/>
          <w:sz w:val="24"/>
          <w:szCs w:val="24"/>
        </w:rPr>
        <w:t xml:space="preserve"> Frequency of 17 different syndromes among the 51 medical records under the </w:t>
      </w:r>
      <w:r>
        <w:rPr>
          <w:rFonts w:ascii="Times New Roman" w:hAnsi="宋体" w:hint="eastAsia"/>
          <w:i w:val="true"/>
          <w:sz w:val="24"/>
          <w:szCs w:val="24"/>
        </w:rPr>
        <w:t>New Theory on Spleen Dampness Syndrome</w:t>
      </w:r>
    </w:p>
    <w:tbl>
      <w:tblPr>
        <w:tblStyleColBandSize w:val="30"/>
        <w:tblW w:w="8300" w:type="dxa"/>
        <w:jc w:val="center"/>
        <w:tblBorders>
          <w:top w:val="single"/>
          <w:left w:val="single"/>
          <w:bottom w:val="single"/>
          <w:right w:val="single"/>
          <w:insideH w:val="none" w:sz="0" w:space="0" w:color=""/>
          <w:insideV w:val="none" w:sz="0" w:space="0" w:color=""/>
        </w:tblBorders>
        <w:tblBorders>
          <w:top xsi:nil="true"/>
          <w:left xsi:nil="true"/>
          <w:bottom xsi:nil="true"/>
          <w:right xsi:nil="true"/>
        </w:tblBorders>
        <w:tblCellMar>
          <w:top w:type="dxa" w:w="0"/>
          <w:left w:type="dxa" w:w="30"/>
          <w:bottom w:type="dxa" w:w="0"/>
          <w:right w:type="dxa" w:w="30"/>
        </w:tblCellMar>
      </w:tblPr>
      <w:tr>
        <w:tc>
          <w:tcPr>
            <w:tcBorders>
              <w:top w:val="basicThinLines"/>
            </w:tcBorders>
          </w:tcPr>
          <w:tcPr>
            <w:vAlign w:val="center"/>
          </w:tcPr>
          <w:p>
            <w:pPr>
              <w:jc w:val="center"/>
            </w:pPr>
            <w:r/>
            <w:r>
              <w:rPr xsi:nil="true">
                <w:b w:val="true"/>
              </w:rPr>
              <w:t>Syndrome</w:t>
            </w:r>
          </w:p>
        </w:tc>
        <w:tc>
          <w:tcPr>
            <w:tcBorders>
              <w:top w:val="basicThinLines"/>
            </w:tcBorders>
          </w:tcPr>
          <w:tcPr>
            <w:vAlign w:val="center"/>
          </w:tcPr>
          <w:p>
            <w:pPr>
              <w:jc w:val="center"/>
            </w:pPr>
            <w:r/>
            <w:r>
              <w:rPr xsi:nil="true">
                <w:b w:val="true"/>
              </w:rPr>
              <w:t>Frequency</w:t>
            </w:r>
            <w:r>
              <w:rPr xsi:nil="true"/>
              <w:t xml:space="preserve"> </w:t>
            </w:r>
            <w:r>
              <w:rPr xsi:nil="true">
                <w:b w:val="true"/>
              </w:rPr>
              <w:t>(</w:t>
            </w:r>
            <w:r>
              <w:rPr xsi:nil="true">
                <w:b w:val="true"/>
                <w:i w:val="true"/>
              </w:rPr>
              <w:t>n</w:t>
            </w:r>
            <w:r>
              <w:rPr xsi:nil="true">
                <w:b w:val="true"/>
              </w:rPr>
              <w:t>)</w:t>
            </w:r>
          </w:p>
        </w:tc>
        <w:tc>
          <w:tcPr>
            <w:tcBorders>
              <w:top w:val="basicThinLines"/>
            </w:tcBorders>
          </w:tcPr>
          <w:tcPr>
            <w:vAlign w:val="center"/>
          </w:tcPr>
          <w:p>
            <w:pPr>
              <w:jc w:val="center"/>
            </w:pPr>
            <w:r/>
            <w:r>
              <w:rPr xsi:nil="true">
                <w:b w:val="true"/>
              </w:rPr>
              <w:t>Relative</w:t>
            </w:r>
            <w:r>
              <w:rPr xsi:nil="true"/>
              <w:t xml:space="preserve"> </w:t>
            </w:r>
            <w:r>
              <w:rPr xsi:nil="true">
                <w:b w:val="true"/>
              </w:rPr>
              <w:t>frequency (%)</w:t>
            </w:r>
          </w:p>
        </w:tc>
      </w:tr>
      <w:tr>
        <w:tc>
          <w:tcPr>
            <w:tcBorders>
              <w:top w:val="basicThinLines"/>
            </w:tcBorders>
          </w:tcPr>
          <w:tcPr>
            <w:vAlign w:val="center"/>
          </w:tcPr>
          <w:p>
            <w:pPr>
              <w:jc w:val="left"/>
            </w:pPr>
            <w:r/>
            <w:r>
              <w:rPr xsi:nil="true"/>
              <w:t>Phlegm and blood stasis, and thoracic obstruction</w:t>
            </w:r>
          </w:p>
        </w:tc>
        <w:tc>
          <w:tcPr>
            <w:tcBorders>
              <w:top w:val="basicThinLines"/>
            </w:tcBorders>
          </w:tcPr>
          <w:tcPr>
            <w:vAlign w:val="center"/>
          </w:tcPr>
          <w:p>
            <w:pPr>
              <w:jc w:val="center"/>
            </w:pPr>
            <w:r/>
            <w:r>
              <w:rPr xsi:nil="true"/>
              <w:t>6</w:t>
            </w:r>
          </w:p>
        </w:tc>
        <w:tc>
          <w:tcPr>
            <w:tcBorders>
              <w:top w:val="basicThinLines"/>
            </w:tcBorders>
          </w:tcPr>
          <w:tcPr>
            <w:vAlign w:val="center"/>
          </w:tcPr>
          <w:p>
            <w:pPr>
              <w:jc w:val="center"/>
            </w:pPr>
            <w:r/>
            <w:r>
              <w:rPr xsi:nil="true"/>
              <w:t xml:space="preserve">11.76  </w:t>
            </w:r>
          </w:p>
        </w:tc>
      </w:tr>
      <w:tr>
        <w:tc>
          <w:tcPr>
            <w:tcBorders/>
          </w:tcPr>
          <w:tcPr>
            <w:vAlign w:val="center"/>
          </w:tcPr>
          <w:p>
            <w:pPr>
              <w:jc w:val="left"/>
            </w:pPr>
            <w:r/>
            <w:r>
              <w:rPr xsi:nil="true"/>
              <w:t>Deficiency weakness of the spleen Qi, and static blood blocking collaterals</w:t>
            </w:r>
          </w:p>
        </w:tc>
        <w:tc>
          <w:tcPr>
            <w:tcBorders/>
          </w:tcPr>
          <w:tcPr>
            <w:vAlign w:val="center"/>
          </w:tcPr>
          <w:p>
            <w:pPr>
              <w:jc w:val="center"/>
            </w:pPr>
            <w:r/>
            <w:r>
              <w:rPr xsi:nil="true"/>
              <w:t>4</w:t>
            </w:r>
          </w:p>
        </w:tc>
        <w:tc>
          <w:tcPr>
            <w:tcBorders/>
          </w:tcPr>
          <w:tcPr>
            <w:vAlign w:val="center"/>
          </w:tcPr>
          <w:p>
            <w:pPr>
              <w:jc w:val="center"/>
            </w:pPr>
            <w:r/>
            <w:r>
              <w:rPr xsi:nil="true"/>
              <w:t>7.80</w:t>
            </w:r>
          </w:p>
        </w:tc>
      </w:tr>
      <w:tr>
        <w:tc>
          <w:tcPr>
            <w:tcBorders/>
          </w:tcPr>
          <w:tcPr>
            <w:vAlign w:val="center"/>
          </w:tcPr>
          <w:p>
            <w:pPr>
              <w:jc w:val="left"/>
            </w:pPr>
            <w:r/>
            <w:r>
              <w:rPr xsi:nil="true"/>
              <w:t>Spleen deficiency and interior heat, and meridian cold dampness</w:t>
            </w:r>
          </w:p>
        </w:tc>
        <w:tc>
          <w:tcPr>
            <w:tcBorders/>
          </w:tcPr>
          <w:tcPr>
            <w:vAlign w:val="center"/>
          </w:tcPr>
          <w:p>
            <w:pPr>
              <w:jc w:val="center"/>
            </w:pPr>
            <w:r/>
            <w:r>
              <w:rPr xsi:nil="true"/>
              <w:t>4</w:t>
            </w:r>
          </w:p>
        </w:tc>
        <w:tc>
          <w:tcPr>
            <w:tcBorders/>
          </w:tcPr>
          <w:tcPr>
            <w:vAlign w:val="center"/>
          </w:tcPr>
          <w:p>
            <w:pPr>
              <w:jc w:val="center"/>
            </w:pPr>
            <w:r/>
            <w:r>
              <w:rPr xsi:nil="true"/>
              <w:t>7.80</w:t>
            </w:r>
          </w:p>
        </w:tc>
      </w:tr>
      <w:tr>
        <w:tc>
          <w:tcPr>
            <w:tcBorders/>
          </w:tcPr>
          <w:tcPr>
            <w:vAlign w:val="center"/>
          </w:tcPr>
          <w:p>
            <w:pPr>
              <w:jc w:val="left"/>
            </w:pPr>
            <w:r/>
            <w:r>
              <w:rPr xsi:nil="true"/>
              <w:t>Blood deficiency and cold limbs</w:t>
            </w:r>
          </w:p>
        </w:tc>
        <w:tc>
          <w:tcPr>
            <w:tcBorders/>
          </w:tcPr>
          <w:tcPr>
            <w:vAlign w:val="center"/>
          </w:tcPr>
          <w:p>
            <w:pPr>
              <w:jc w:val="center"/>
            </w:pPr>
            <w:r/>
            <w:r>
              <w:rPr xsi:nil="true"/>
              <w:t>4</w:t>
            </w:r>
          </w:p>
        </w:tc>
        <w:tc>
          <w:tcPr>
            <w:tcBorders/>
          </w:tcPr>
          <w:tcPr>
            <w:vAlign w:val="center"/>
          </w:tcPr>
          <w:p>
            <w:pPr>
              <w:jc w:val="center"/>
            </w:pPr>
            <w:r/>
            <w:r>
              <w:rPr xsi:nil="true"/>
              <w:t>7.80</w:t>
            </w:r>
          </w:p>
        </w:tc>
      </w:tr>
      <w:tr>
        <w:tc>
          <w:tcPr>
            <w:tcBorders/>
          </w:tcPr>
          <w:tcPr>
            <w:vAlign w:val="center"/>
          </w:tcPr>
          <w:p>
            <w:pPr>
              <w:jc w:val="left"/>
            </w:pPr>
            <w:r/>
            <w:r>
              <w:rPr xsi:nil="true"/>
              <w:t>Spleen deficiency and stomach heat</w:t>
            </w:r>
          </w:p>
        </w:tc>
        <w:tc>
          <w:tcPr>
            <w:tcBorders/>
          </w:tcPr>
          <w:tcPr>
            <w:vAlign w:val="center"/>
          </w:tcPr>
          <w:p>
            <w:pPr>
              <w:jc w:val="center"/>
            </w:pPr>
            <w:r/>
            <w:r>
              <w:rPr xsi:nil="true"/>
              <w:t>3</w:t>
            </w:r>
          </w:p>
        </w:tc>
        <w:tc>
          <w:tcPr>
            <w:tcBorders/>
          </w:tcPr>
          <w:tcPr>
            <w:vAlign w:val="center"/>
          </w:tcPr>
          <w:p>
            <w:pPr>
              <w:jc w:val="center"/>
            </w:pPr>
            <w:r/>
            <w:r>
              <w:rPr xsi:nil="true"/>
              <w:t>5.90</w:t>
            </w:r>
          </w:p>
        </w:tc>
      </w:tr>
      <w:tr>
        <w:tc>
          <w:tcPr>
            <w:tcBorders/>
          </w:tcPr>
          <w:tcPr>
            <w:vAlign w:val="center"/>
          </w:tcPr>
          <w:p>
            <w:pPr>
              <w:jc w:val="left"/>
            </w:pPr>
            <w:r/>
            <w:r>
              <w:rPr xsi:nil="true"/>
              <w:t>Intermingled cold and heat</w:t>
            </w:r>
          </w:p>
        </w:tc>
        <w:tc>
          <w:tcPr>
            <w:tcBorders/>
          </w:tcPr>
          <w:tcPr>
            <w:vAlign w:val="center"/>
          </w:tcPr>
          <w:p>
            <w:pPr>
              <w:jc w:val="center"/>
            </w:pPr>
            <w:r/>
            <w:r>
              <w:rPr xsi:nil="true"/>
              <w:t>3</w:t>
            </w:r>
          </w:p>
        </w:tc>
        <w:tc>
          <w:tcPr>
            <w:tcBorders/>
          </w:tcPr>
          <w:tcPr>
            <w:vAlign w:val="center"/>
          </w:tcPr>
          <w:p>
            <w:pPr>
              <w:jc w:val="center"/>
            </w:pPr>
            <w:r/>
            <w:r>
              <w:rPr xsi:nil="true"/>
              <w:t>5.90</w:t>
            </w:r>
          </w:p>
        </w:tc>
      </w:tr>
      <w:tr>
        <w:tc>
          <w:tcPr>
            <w:tcBorders/>
          </w:tcPr>
          <w:tcPr>
            <w:vAlign w:val="center"/>
          </w:tcPr>
          <w:p>
            <w:pPr>
              <w:jc w:val="left"/>
            </w:pPr>
            <w:r/>
            <w:r>
              <w:rPr xsi:nil="true"/>
              <w:t>Kidney deficiency and collateral stasis, and downward flow of cold dampness</w:t>
            </w:r>
          </w:p>
        </w:tc>
        <w:tc>
          <w:tcPr>
            <w:tcBorders/>
          </w:tcPr>
          <w:tcPr>
            <w:vAlign w:val="center"/>
          </w:tcPr>
          <w:p>
            <w:pPr>
              <w:jc w:val="center"/>
            </w:pPr>
            <w:r/>
            <w:r>
              <w:rPr xsi:nil="true"/>
              <w:t>3</w:t>
            </w:r>
          </w:p>
        </w:tc>
        <w:tc>
          <w:tcPr>
            <w:tcBorders/>
          </w:tcPr>
          <w:tcPr>
            <w:vAlign w:val="center"/>
          </w:tcPr>
          <w:p>
            <w:pPr>
              <w:jc w:val="center"/>
            </w:pPr>
            <w:r/>
            <w:r>
              <w:rPr xsi:nil="true"/>
              <w:t>5.90</w:t>
            </w:r>
          </w:p>
        </w:tc>
      </w:tr>
      <w:tr>
        <w:tc>
          <w:tcPr>
            <w:tcBorders/>
          </w:tcPr>
          <w:tcPr>
            <w:vAlign w:val="center"/>
          </w:tcPr>
          <w:p>
            <w:pPr>
              <w:jc w:val="left"/>
            </w:pPr>
            <w:r/>
            <w:r>
              <w:rPr xsi:nil="true"/>
              <w:t>Obstruction of collaterals</w:t>
            </w:r>
          </w:p>
        </w:tc>
        <w:tc>
          <w:tcPr>
            <w:tcBorders/>
          </w:tcPr>
          <w:tcPr>
            <w:vAlign w:val="center"/>
          </w:tcPr>
          <w:p>
            <w:pPr>
              <w:jc w:val="center"/>
            </w:pPr>
            <w:r/>
            <w:r>
              <w:rPr xsi:nil="true"/>
              <w:t>3</w:t>
            </w:r>
          </w:p>
        </w:tc>
        <w:tc>
          <w:tcPr>
            <w:tcBorders/>
          </w:tcPr>
          <w:tcPr>
            <w:vAlign w:val="center"/>
          </w:tcPr>
          <w:p>
            <w:pPr>
              <w:jc w:val="center"/>
            </w:pPr>
            <w:r/>
            <w:r>
              <w:rPr xsi:nil="true"/>
              <w:t>5.90</w:t>
            </w:r>
          </w:p>
        </w:tc>
      </w:tr>
      <w:tr>
        <w:tc>
          <w:tcPr>
            <w:tcBorders/>
          </w:tcPr>
          <w:tcPr>
            <w:vAlign w:val="center"/>
          </w:tcPr>
          <w:p>
            <w:pPr>
              <w:jc w:val="left"/>
            </w:pPr>
            <w:r/>
            <w:r>
              <w:rPr xsi:nil="true"/>
              <w:t>Deficiency weakness of the spleen Qi, and dampness and statis blocking collaterals</w:t>
            </w:r>
          </w:p>
        </w:tc>
        <w:tc>
          <w:tcPr>
            <w:tcBorders/>
          </w:tcPr>
          <w:tcPr>
            <w:vAlign w:val="center"/>
          </w:tcPr>
          <w:p>
            <w:pPr>
              <w:jc w:val="center"/>
            </w:pPr>
            <w:r/>
            <w:r>
              <w:rPr xsi:nil="true"/>
              <w:t>3</w:t>
            </w:r>
          </w:p>
        </w:tc>
        <w:tc>
          <w:tcPr>
            <w:tcBorders/>
          </w:tcPr>
          <w:tcPr>
            <w:vAlign w:val="center"/>
          </w:tcPr>
          <w:p>
            <w:pPr>
              <w:jc w:val="center"/>
            </w:pPr>
            <w:r/>
            <w:r>
              <w:rPr xsi:nil="true"/>
              <w:t>5.90</w:t>
            </w:r>
          </w:p>
        </w:tc>
      </w:tr>
      <w:tr>
        <w:tc>
          <w:tcPr>
            <w:tcBorders/>
          </w:tcPr>
          <w:tcPr>
            <w:vAlign w:val="center"/>
          </w:tcPr>
          <w:p>
            <w:pPr>
              <w:jc w:val="left"/>
            </w:pPr>
            <w:r/>
            <w:r>
              <w:rPr xsi:nil="true"/>
              <w:t>Blood stasis due to cold coagulation, and deficiency of Qi and blood</w:t>
            </w:r>
          </w:p>
        </w:tc>
        <w:tc>
          <w:tcPr>
            <w:tcBorders/>
          </w:tcPr>
          <w:tcPr>
            <w:vAlign w:val="center"/>
          </w:tcPr>
          <w:p>
            <w:pPr>
              <w:jc w:val="center"/>
            </w:pPr>
            <w:r/>
            <w:r>
              <w:rPr xsi:nil="true"/>
              <w:t>3</w:t>
            </w:r>
          </w:p>
        </w:tc>
        <w:tc>
          <w:tcPr>
            <w:tcBorders/>
          </w:tcPr>
          <w:tcPr>
            <w:vAlign w:val="center"/>
          </w:tcPr>
          <w:p>
            <w:pPr>
              <w:jc w:val="center"/>
            </w:pPr>
            <w:r/>
            <w:r>
              <w:rPr xsi:nil="true"/>
              <w:t>5.90</w:t>
            </w:r>
          </w:p>
        </w:tc>
      </w:tr>
      <w:tr>
        <w:tc>
          <w:tcPr>
            <w:tcBorders/>
          </w:tcPr>
          <w:tcPr>
            <w:vAlign w:val="center"/>
          </w:tcPr>
          <w:p>
            <w:pPr>
              <w:jc w:val="left"/>
            </w:pPr>
            <w:r/>
            <w:r>
              <w:rPr xsi:nil="true"/>
              <w:t>Yang deficiency of the heart, spleen, and kidney, and water pathogen attacking</w:t>
            </w:r>
            <w:r>
              <w:rPr xsi:nil="true"/>
              <w:t xml:space="preserve"> the heart and lung</w:t>
            </w:r>
          </w:p>
        </w:tc>
        <w:tc>
          <w:tcPr>
            <w:tcBorders/>
          </w:tcPr>
          <w:tcPr>
            <w:vAlign w:val="center"/>
          </w:tcPr>
          <w:p>
            <w:pPr>
              <w:jc w:val="center"/>
            </w:pPr>
            <w:r/>
            <w:r>
              <w:rPr xsi:nil="true"/>
              <w:t>3</w:t>
            </w:r>
          </w:p>
        </w:tc>
        <w:tc>
          <w:tcPr>
            <w:tcBorders/>
          </w:tcPr>
          <w:tcPr>
            <w:vAlign w:val="center"/>
          </w:tcPr>
          <w:p>
            <w:pPr>
              <w:jc w:val="center"/>
            </w:pPr>
            <w:r/>
            <w:r>
              <w:rPr xsi:nil="true"/>
              <w:t>5.90</w:t>
            </w:r>
          </w:p>
        </w:tc>
      </w:tr>
      <w:tr>
        <w:tc>
          <w:tcPr>
            <w:tcBorders/>
          </w:tcPr>
          <w:tcPr>
            <w:vAlign w:val="center"/>
          </w:tcPr>
          <w:p>
            <w:pPr>
              <w:jc w:val="left"/>
            </w:pPr>
            <w:r/>
            <w:r>
              <w:rPr xsi:nil="true"/>
              <w:t>Hyperactivity of Yang due to asthenic Yin, and disharmony between the heart and kidney</w:t>
            </w:r>
          </w:p>
        </w:tc>
        <w:tc>
          <w:tcPr>
            <w:tcBorders/>
          </w:tcPr>
          <w:tcPr>
            <w:vAlign w:val="center"/>
          </w:tcPr>
          <w:p>
            <w:pPr>
              <w:jc w:val="center"/>
            </w:pPr>
            <w:r/>
            <w:r>
              <w:rPr xsi:nil="true"/>
              <w:t>3</w:t>
            </w:r>
          </w:p>
        </w:tc>
        <w:tc>
          <w:tcPr>
            <w:tcBorders/>
          </w:tcPr>
          <w:tcPr>
            <w:vAlign w:val="center"/>
          </w:tcPr>
          <w:p>
            <w:pPr>
              <w:jc w:val="center"/>
            </w:pPr>
            <w:r/>
            <w:r>
              <w:rPr xsi:nil="true"/>
              <w:t>5.90</w:t>
            </w:r>
          </w:p>
        </w:tc>
      </w:tr>
      <w:tr>
        <w:tc>
          <w:tcPr>
            <w:tcBorders/>
          </w:tcPr>
          <w:tcPr>
            <w:vAlign w:val="center"/>
          </w:tcPr>
          <w:p>
            <w:pPr>
              <w:jc w:val="left"/>
            </w:pPr>
            <w:r/>
            <w:r>
              <w:rPr xsi:nil="true"/>
              <w:t>Spleen deficiency and stomach heat, and intermingled phlegm and heat</w:t>
            </w:r>
          </w:p>
        </w:tc>
        <w:tc>
          <w:tcPr>
            <w:tcBorders/>
          </w:tcPr>
          <w:tcPr>
            <w:vAlign w:val="center"/>
          </w:tcPr>
          <w:p>
            <w:pPr>
              <w:jc w:val="center"/>
            </w:pPr>
            <w:r/>
            <w:r>
              <w:rPr xsi:nil="true"/>
              <w:t>2</w:t>
            </w:r>
          </w:p>
        </w:tc>
        <w:tc>
          <w:tcPr>
            <w:tcBorders/>
          </w:tcPr>
          <w:tcPr>
            <w:vAlign w:val="center"/>
          </w:tcPr>
          <w:p>
            <w:pPr>
              <w:jc w:val="center"/>
            </w:pPr>
            <w:r/>
            <w:r>
              <w:rPr xsi:nil="true"/>
              <w:t>3.92</w:t>
            </w:r>
          </w:p>
        </w:tc>
      </w:tr>
      <w:tr>
        <w:tc>
          <w:tcPr>
            <w:tcBorders/>
          </w:tcPr>
          <w:tcPr>
            <w:vAlign w:val="center"/>
          </w:tcPr>
          <w:p>
            <w:pPr>
              <w:jc w:val="left"/>
            </w:pPr>
            <w:r/>
            <w:r>
              <w:rPr xsi:nil="true"/>
              <w:t>Spleen deficiency and stomach heat, and intermingled deficiency and excessiveness</w:t>
            </w:r>
          </w:p>
        </w:tc>
        <w:tc>
          <w:tcPr>
            <w:tcBorders/>
          </w:tcPr>
          <w:tcPr>
            <w:vAlign w:val="center"/>
          </w:tcPr>
          <w:p>
            <w:pPr>
              <w:jc w:val="center"/>
            </w:pPr>
            <w:r/>
            <w:r>
              <w:rPr xsi:nil="true"/>
              <w:t>2</w:t>
            </w:r>
          </w:p>
        </w:tc>
        <w:tc>
          <w:tcPr>
            <w:tcBorders/>
          </w:tcPr>
          <w:tcPr>
            <w:vAlign w:val="center"/>
          </w:tcPr>
          <w:p>
            <w:pPr>
              <w:jc w:val="center"/>
            </w:pPr>
            <w:r/>
            <w:r>
              <w:rPr xsi:nil="true"/>
              <w:t>3.92</w:t>
            </w:r>
          </w:p>
        </w:tc>
      </w:tr>
      <w:tr>
        <w:tc>
          <w:tcPr>
            <w:tcBorders/>
          </w:tcPr>
          <w:tcPr>
            <w:vAlign w:val="center"/>
          </w:tcPr>
          <w:p>
            <w:pPr>
              <w:jc w:val="left"/>
            </w:pPr>
            <w:r/>
            <w:r>
              <w:rPr xsi:nil="true"/>
              <w:t>Accumulation of wind-cold dampness, and obstruction of collaterals</w:t>
            </w:r>
          </w:p>
        </w:tc>
        <w:tc>
          <w:tcPr>
            <w:tcBorders/>
          </w:tcPr>
          <w:tcPr>
            <w:vAlign w:val="center"/>
          </w:tcPr>
          <w:p>
            <w:pPr>
              <w:jc w:val="center"/>
            </w:pPr>
            <w:r/>
            <w:r>
              <w:rPr xsi:nil="true"/>
              <w:t>2</w:t>
            </w:r>
          </w:p>
        </w:tc>
        <w:tc>
          <w:tcPr>
            <w:tcBorders/>
          </w:tcPr>
          <w:tcPr>
            <w:vAlign w:val="center"/>
          </w:tcPr>
          <w:p>
            <w:pPr>
              <w:jc w:val="center"/>
            </w:pPr>
            <w:r/>
            <w:r>
              <w:rPr xsi:nil="true"/>
              <w:t>3.92</w:t>
            </w:r>
          </w:p>
        </w:tc>
      </w:tr>
      <w:tr>
        <w:tc>
          <w:tcPr>
            <w:tcBorders/>
          </w:tcPr>
          <w:tcPr>
            <w:vAlign w:val="center"/>
          </w:tcPr>
          <w:p>
            <w:pPr>
              <w:jc w:val="left"/>
            </w:pPr>
            <w:r/>
            <w:r>
              <w:rPr xsi:nil="true"/>
              <w:t>Kidney Yang deficiency, and obstruction of turbidity and stasis</w:t>
            </w:r>
          </w:p>
        </w:tc>
        <w:tc>
          <w:tcPr>
            <w:tcBorders/>
          </w:tcPr>
          <w:tcPr>
            <w:vAlign w:val="center"/>
          </w:tcPr>
          <w:p>
            <w:pPr>
              <w:jc w:val="center"/>
            </w:pPr>
            <w:r/>
            <w:r>
              <w:rPr xsi:nil="true"/>
              <w:t>2</w:t>
            </w:r>
          </w:p>
        </w:tc>
        <w:tc>
          <w:tcPr>
            <w:tcBorders/>
          </w:tcPr>
          <w:tcPr>
            <w:vAlign w:val="center"/>
          </w:tcPr>
          <w:p>
            <w:pPr>
              <w:jc w:val="center"/>
            </w:pPr>
            <w:r/>
            <w:r>
              <w:rPr xsi:nil="true"/>
              <w:t>3.92</w:t>
            </w:r>
          </w:p>
        </w:tc>
      </w:tr>
      <w:tr>
        <w:tc>
          <w:tcPr>
            <w:tcBorders>
              <w:bottom w:val="basicThinLines"/>
            </w:tcBorders>
          </w:tcPr>
          <w:tcPr>
            <w:vAlign w:val="center"/>
          </w:tcPr>
          <w:p>
            <w:pPr>
              <w:jc w:val="left"/>
            </w:pPr>
            <w:r/>
            <w:r>
              <w:rPr xsi:nil="true"/>
              <w:t>Asthenia Yin generating interior heat, deficiency of Qi and Yin, and hyperactivity of liver Yang</w:t>
            </w:r>
          </w:p>
        </w:tc>
        <w:tc>
          <w:tcPr>
            <w:tcBorders>
              <w:bottom w:val="basicThinLines"/>
            </w:tcBorders>
          </w:tcPr>
          <w:tcPr>
            <w:vAlign w:val="center"/>
          </w:tcPr>
          <w:p>
            <w:pPr>
              <w:jc w:val="center"/>
            </w:pPr>
            <w:r/>
            <w:r>
              <w:rPr xsi:nil="true"/>
              <w:t>1</w:t>
            </w:r>
          </w:p>
        </w:tc>
        <w:tc>
          <w:tcPr>
            <w:tcBorders>
              <w:bottom w:val="basicThinLines"/>
            </w:tcBorders>
          </w:tcPr>
          <w:tcPr>
            <w:vAlign w:val="center"/>
          </w:tcPr>
          <w:p>
            <w:pPr>
              <w:jc w:val="center"/>
            </w:pPr>
            <w:r/>
            <w:r>
              <w:rPr xsi:nil="true"/>
              <w:t>1.96</w:t>
            </w:r>
          </w:p>
        </w:tc>
      </w:tr>
      <w:tr>
        <w:tc>
          <w:tcPr>
            <w:hMerge w:val="restart"/>
          </w:tcPr>
          <w:tcPr>
            <w:tcBorders/>
          </w:tcPr>
          <w:tcPr>
            <w:vAlign w:val="center"/>
          </w:tcPr>
          <w:p>
            <w:pPr>
              <w:jc w:val="left"/>
            </w:pPr>
            <w:r/>
            <w:r>
              <w:rPr xsi:nil="true"/>
              <w:t>Relative frequency = frequency of syndromes/number of all medical records.</w:t>
            </w:r>
          </w:p>
        </w:tc>
        <w:tc>
          <w:tcPr>
            <w:hMerge w:val="continue"/>
          </w:tcPr>
          <w:p/>
        </w:tc>
        <w:tc>
          <w:tcPr>
            <w:hMerge w:val="continue"/>
          </w:tcPr>
          <w:p/>
        </w:tc>
      </w:tr>
      <w:tr>
        <w:tc>
          <w:p/>
        </w:tc>
        <w:tc>
          <w:p/>
        </w:tc>
        <w:tc>
          <w:p/>
        </w:tc>
      </w:tr>
    </w:tbl>
    <w:p>
      <w:pPr>
        <w:ind w:firstLine="420"/>
        <w:rPr>
          <w:rFonts w:ascii="Times New Roman" w:hAnsi="宋体"/>
          <w:sz w:val="24"/>
          <w:szCs w:val="24"/>
        </w:rPr>
      </w:pPr>
    </w:p>
    <w:p>
      <w:pPr>
        <w:ind w:firstLine="480" w:firstLineChars="200"/>
        <w:rPr>
          <w:rFonts w:ascii="Times New Roman" w:hAnsi="宋体"/>
          <w:sz w:val="24"/>
          <w:szCs w:val="24"/>
        </w:rPr>
      </w:pPr>
    </w:p>
    <w:p>
      <w:pPr>
        <w:spacing w:after="156" w:afterLines="50" w:line="360" w:lineRule="auto"/>
        <w:ind w:firstLine="482" w:firstLineChars="200"/>
        <w:jc w:val="center"/>
        <w:rPr>
          <w:rFonts w:ascii="Times New Roman" w:hAnsi="宋体"/>
          <w:sz w:val="24"/>
          <w:szCs w:val="24"/>
        </w:rPr>
      </w:pPr>
      <w:r>
        <w:rPr>
          <w:rFonts w:ascii="Times New Roman" w:hAnsi="宋体" w:hint="eastAsia"/>
          <w:b/>
          <w:bCs/>
          <w:sz w:val="24"/>
          <w:szCs w:val="24"/>
        </w:rPr>
        <w:t xml:space="preserve">Table 2 </w:t>
      </w:r>
      <w:r>
        <w:rPr>
          <w:rFonts w:ascii="Times New Roman" w:hAnsi="宋体" w:hint="eastAsia"/>
          <w:sz w:val="24"/>
          <w:szCs w:val="24"/>
        </w:rPr>
        <w:t xml:space="preserve"> Frequency of 14 different treatment methods among the 51 medical records under the </w:t>
      </w:r>
      <w:r>
        <w:rPr>
          <w:rFonts w:ascii="Times New Roman" w:hAnsi="宋体" w:hint="eastAsia"/>
          <w:i w:val="true"/>
          <w:sz w:val="24"/>
          <w:szCs w:val="24"/>
        </w:rPr>
        <w:t>New Theory on Spleen Dampness Syndrome</w:t>
      </w:r>
    </w:p>
    <w:tbl>
      <w:tblPr>
        <w:tblStyleColBandSize w:val="30"/>
        <w:tblW w:w="8300" w:type="dxa"/>
        <w:jc w:val="center"/>
        <w:tblBorders>
          <w:top w:val="single"/>
          <w:left w:val="single"/>
          <w:bottom w:val="single"/>
          <w:right w:val="single"/>
          <w:insideH w:val="none" w:sz="0" w:space="0" w:color=""/>
          <w:insideV w:val="none" w:sz="0" w:space="0" w:color=""/>
        </w:tblBorders>
        <w:tblBorders>
          <w:top xsi:nil="true"/>
          <w:left xsi:nil="true"/>
          <w:bottom xsi:nil="true"/>
          <w:right xsi:nil="true"/>
        </w:tblBorders>
        <w:tblCellMar>
          <w:top w:type="dxa" w:w="0"/>
          <w:left w:type="dxa" w:w="30"/>
          <w:bottom w:type="dxa" w:w="0"/>
          <w:right w:type="dxa" w:w="30"/>
        </w:tblCellMar>
      </w:tblPr>
      <w:tr>
        <w:tc>
          <w:tcPr>
            <w:tcBorders>
              <w:top w:val="basicThinLines"/>
            </w:tcBorders>
          </w:tcPr>
          <w:tcPr>
            <w:vAlign w:val="center"/>
          </w:tcPr>
          <w:p>
            <w:pPr>
              <w:jc w:val="center"/>
            </w:pPr>
            <w:r/>
            <w:r>
              <w:rPr xsi:nil="true">
                <w:b w:val="true"/>
              </w:rPr>
              <w:t>Treatment method</w:t>
            </w:r>
          </w:p>
        </w:tc>
        <w:tc>
          <w:tcPr>
            <w:tcBorders>
              <w:top w:val="basicThinLines"/>
            </w:tcBorders>
          </w:tcPr>
          <w:tcPr>
            <w:vAlign w:val="center"/>
          </w:tcPr>
          <w:p>
            <w:pPr>
              <w:jc w:val="center"/>
            </w:pPr>
            <w:r/>
            <w:r>
              <w:rPr xsi:nil="true">
                <w:b w:val="true"/>
              </w:rPr>
              <w:t>Frequency</w:t>
            </w:r>
            <w:r>
              <w:rPr xsi:nil="true"/>
              <w:t xml:space="preserve"> </w:t>
            </w:r>
            <w:r>
              <w:rPr xsi:nil="true">
                <w:b w:val="true"/>
              </w:rPr>
              <w:t>(</w:t>
            </w:r>
            <w:r>
              <w:rPr xsi:nil="true">
                <w:b w:val="true"/>
                <w:i w:val="true"/>
              </w:rPr>
              <w:t>n</w:t>
            </w:r>
            <w:r>
              <w:rPr xsi:nil="true">
                <w:b w:val="true"/>
              </w:rPr>
              <w:t>)</w:t>
            </w:r>
          </w:p>
        </w:tc>
        <w:tc>
          <w:tcPr>
            <w:tcBorders>
              <w:top w:val="basicThinLines"/>
            </w:tcBorders>
          </w:tcPr>
          <w:tcPr>
            <w:vAlign w:val="center"/>
          </w:tcPr>
          <w:p>
            <w:pPr>
              <w:jc w:val="center"/>
            </w:pPr>
            <w:r/>
            <w:r>
              <w:rPr xsi:nil="true">
                <w:b w:val="true"/>
              </w:rPr>
              <w:t>Relative</w:t>
            </w:r>
            <w:r>
              <w:rPr xsi:nil="true"/>
              <w:t xml:space="preserve"> </w:t>
            </w:r>
            <w:r>
              <w:rPr xsi:nil="true">
                <w:b w:val="true"/>
              </w:rPr>
              <w:t>frequency (%)</w:t>
            </w:r>
          </w:p>
        </w:tc>
      </w:tr>
      <w:tr>
        <w:tc>
          <w:tcPr>
            <w:tcBorders>
              <w:top w:val="basicThinLines"/>
            </w:tcBorders>
          </w:tcPr>
          <w:tcPr>
            <w:vAlign w:val="center"/>
          </w:tcPr>
          <w:p>
            <w:pPr>
              <w:jc w:val="left"/>
            </w:pPr>
            <w:r/>
            <w:r>
              <w:rPr xsi:nil="true"/>
              <w:t>Activating Yang and eliminating turbidity, and removing phlegm and dredging channel blockage</w:t>
            </w:r>
          </w:p>
        </w:tc>
        <w:tc>
          <w:tcPr>
            <w:tcBorders>
              <w:top w:val="basicThinLines"/>
            </w:tcBorders>
          </w:tcPr>
          <w:tcPr>
            <w:vAlign w:val="center"/>
          </w:tcPr>
          <w:p>
            <w:pPr>
              <w:jc w:val="center"/>
            </w:pPr>
            <w:r/>
            <w:r>
              <w:rPr xsi:nil="true"/>
              <w:t>5</w:t>
            </w:r>
          </w:p>
        </w:tc>
        <w:tc>
          <w:tcPr>
            <w:tcBorders>
              <w:top w:val="basicThinLines"/>
            </w:tcBorders>
          </w:tcPr>
          <w:tcPr>
            <w:vAlign w:val="center"/>
          </w:tcPr>
          <w:p>
            <w:pPr>
              <w:jc w:val="center"/>
            </w:pPr>
            <w:r/>
            <w:r>
              <w:rPr xsi:nil="true"/>
              <w:t>9.80</w:t>
            </w:r>
          </w:p>
        </w:tc>
      </w:tr>
      <w:tr>
        <w:tc>
          <w:tcPr>
            <w:tcBorders/>
          </w:tcPr>
          <w:tcPr>
            <w:vAlign w:val="center"/>
          </w:tcPr>
          <w:p>
            <w:pPr>
              <w:jc w:val="left"/>
            </w:pPr>
            <w:r/>
            <w:r>
              <w:rPr xsi:nil="true"/>
              <w:t>Strengthening the spleen and benefiting Qi, and eliminating phlegm to activate the channels</w:t>
            </w:r>
          </w:p>
        </w:tc>
        <w:tc>
          <w:tcPr>
            <w:tcBorders/>
          </w:tcPr>
          <w:tcPr>
            <w:vAlign w:val="center"/>
          </w:tcPr>
          <w:p>
            <w:pPr>
              <w:jc w:val="center"/>
            </w:pPr>
            <w:r/>
            <w:r>
              <w:rPr xsi:nil="true"/>
              <w:t>4</w:t>
            </w:r>
          </w:p>
        </w:tc>
        <w:tc>
          <w:tcPr>
            <w:tcBorders/>
          </w:tcPr>
          <w:tcPr>
            <w:vAlign w:val="center"/>
          </w:tcPr>
          <w:p>
            <w:pPr>
              <w:jc w:val="center"/>
            </w:pPr>
            <w:r/>
            <w:r>
              <w:rPr xsi:nil="true"/>
              <w:t>7.84</w:t>
            </w:r>
          </w:p>
        </w:tc>
      </w:tr>
      <w:tr>
        <w:tc>
          <w:tcPr>
            <w:tcBorders/>
          </w:tcPr>
          <w:tcPr>
            <w:vAlign w:val="center"/>
          </w:tcPr>
          <w:p>
            <w:pPr>
              <w:jc w:val="left"/>
            </w:pPr>
            <w:r/>
            <w:r>
              <w:rPr xsi:nil="true"/>
              <w:t>Warming Yang and benefiting Qi, and expelling cold to remove obstructions</w:t>
            </w:r>
          </w:p>
        </w:tc>
        <w:tc>
          <w:tcPr>
            <w:tcBorders/>
          </w:tcPr>
          <w:tcPr>
            <w:vAlign w:val="center"/>
          </w:tcPr>
          <w:p>
            <w:pPr>
              <w:jc w:val="center"/>
            </w:pPr>
            <w:r/>
            <w:r>
              <w:rPr xsi:nil="true"/>
              <w:t>4</w:t>
            </w:r>
          </w:p>
        </w:tc>
        <w:tc>
          <w:tcPr>
            <w:tcBorders/>
          </w:tcPr>
          <w:tcPr>
            <w:vAlign w:val="center"/>
          </w:tcPr>
          <w:p>
            <w:pPr>
              <w:jc w:val="center"/>
            </w:pPr>
            <w:r/>
            <w:r>
              <w:rPr xsi:nil="true"/>
              <w:t>7.84</w:t>
            </w:r>
          </w:p>
        </w:tc>
      </w:tr>
      <w:tr>
        <w:tc>
          <w:tcPr>
            <w:tcBorders/>
          </w:tcPr>
          <w:tcPr>
            <w:vAlign w:val="center"/>
          </w:tcPr>
          <w:p>
            <w:pPr>
              <w:jc w:val="left"/>
            </w:pPr>
            <w:r/>
            <w:r>
              <w:rPr xsi:nil="true"/>
              <w:t>Clearing the upper body and warming the lower body, and restoring the coordination and warming Yang</w:t>
            </w:r>
          </w:p>
        </w:tc>
        <w:tc>
          <w:tcPr>
            <w:tcBorders/>
          </w:tcPr>
          <w:tcPr>
            <w:vAlign w:val="top"/>
          </w:tcPr>
          <w:p>
            <w:pPr>
              <w:jc w:val="center"/>
            </w:pPr>
            <w:r/>
            <w:r>
              <w:rPr xsi:nil="true"/>
              <w:t>3</w:t>
            </w:r>
          </w:p>
        </w:tc>
        <w:tc>
          <w:tcPr>
            <w:tcBorders/>
          </w:tcPr>
          <w:tcPr>
            <w:vAlign w:val="top"/>
          </w:tcPr>
          <w:p>
            <w:pPr>
              <w:jc w:val="center"/>
            </w:pPr>
            <w:r/>
            <w:r>
              <w:rPr xsi:nil="true"/>
              <w:t>5.88</w:t>
            </w:r>
          </w:p>
        </w:tc>
      </w:tr>
      <w:tr>
        <w:tc>
          <w:tcPr>
            <w:tcBorders/>
          </w:tcPr>
          <w:tcPr>
            <w:vAlign w:val="center"/>
          </w:tcPr>
          <w:p>
            <w:pPr>
              <w:jc w:val="left"/>
            </w:pPr>
            <w:r/>
            <w:r>
              <w:rPr xsi:nil="true"/>
              <w:t>Warming Yang and tonifying the kidney, and expelling pathogenic dampness</w:t>
            </w:r>
          </w:p>
        </w:tc>
        <w:tc>
          <w:tcPr>
            <w:tcBorders/>
          </w:tcPr>
          <w:tcPr>
            <w:vAlign w:val="center"/>
          </w:tcPr>
          <w:p>
            <w:pPr>
              <w:jc w:val="center"/>
            </w:pPr>
            <w:r/>
            <w:r>
              <w:rPr xsi:nil="true"/>
              <w:t>3</w:t>
            </w:r>
          </w:p>
        </w:tc>
        <w:tc>
          <w:tcPr>
            <w:tcBorders/>
          </w:tcPr>
          <w:tcPr>
            <w:vAlign w:val="center"/>
          </w:tcPr>
          <w:p>
            <w:pPr>
              <w:jc w:val="center"/>
            </w:pPr>
            <w:r/>
            <w:r>
              <w:rPr xsi:nil="true"/>
              <w:t>5.88</w:t>
            </w:r>
          </w:p>
        </w:tc>
      </w:tr>
      <w:tr>
        <w:tc>
          <w:tcPr>
            <w:tcBorders/>
          </w:tcPr>
          <w:tcPr>
            <w:vAlign w:val="center"/>
          </w:tcPr>
          <w:p>
            <w:pPr>
              <w:jc w:val="left"/>
            </w:pPr>
            <w:r/>
            <w:r>
              <w:rPr xsi:nil="true"/>
              <w:t>Invigorating the spleen for diuresis, and benefiting Qi to active the channels</w:t>
            </w:r>
          </w:p>
        </w:tc>
        <w:tc>
          <w:tcPr>
            <w:tcBorders/>
          </w:tcPr>
          <w:tcPr>
            <w:vAlign w:val="center"/>
          </w:tcPr>
          <w:p>
            <w:pPr>
              <w:jc w:val="center"/>
            </w:pPr>
            <w:r/>
            <w:r>
              <w:rPr xsi:nil="true"/>
              <w:t>3</w:t>
            </w:r>
          </w:p>
        </w:tc>
        <w:tc>
          <w:tcPr>
            <w:tcBorders/>
          </w:tcPr>
          <w:tcPr>
            <w:vAlign w:val="center"/>
          </w:tcPr>
          <w:p>
            <w:pPr>
              <w:jc w:val="center"/>
            </w:pPr>
            <w:r/>
            <w:r>
              <w:rPr xsi:nil="true"/>
              <w:t>5.88</w:t>
            </w:r>
          </w:p>
        </w:tc>
      </w:tr>
      <w:tr>
        <w:tc>
          <w:tcPr>
            <w:tcBorders/>
          </w:tcPr>
          <w:tcPr>
            <w:vAlign w:val="center"/>
          </w:tcPr>
          <w:p>
            <w:pPr>
              <w:jc w:val="left"/>
            </w:pPr>
            <w:r/>
            <w:r>
              <w:rPr xsi:nil="true"/>
              <w:t>Benefiting Qi and expelling dampness, and eliminating phlegm to active the channels</w:t>
            </w:r>
          </w:p>
        </w:tc>
        <w:tc>
          <w:tcPr>
            <w:tcBorders/>
          </w:tcPr>
          <w:tcPr>
            <w:vAlign w:val="center"/>
          </w:tcPr>
          <w:p>
            <w:pPr>
              <w:jc w:val="center"/>
            </w:pPr>
            <w:r/>
            <w:r>
              <w:rPr xsi:nil="true"/>
              <w:t>3</w:t>
            </w:r>
          </w:p>
        </w:tc>
        <w:tc>
          <w:tcPr>
            <w:tcBorders/>
          </w:tcPr>
          <w:tcPr>
            <w:vAlign w:val="center"/>
          </w:tcPr>
          <w:p>
            <w:pPr>
              <w:jc w:val="center"/>
            </w:pPr>
            <w:r/>
            <w:r>
              <w:rPr xsi:nil="true"/>
              <w:t>5.88</w:t>
            </w:r>
          </w:p>
        </w:tc>
      </w:tr>
      <w:tr>
        <w:tc>
          <w:tcPr>
            <w:tcBorders/>
          </w:tcPr>
          <w:tcPr>
            <w:vAlign w:val="center"/>
          </w:tcPr>
          <w:p>
            <w:pPr>
              <w:jc w:val="left"/>
            </w:pPr>
            <w:r/>
            <w:r>
              <w:rPr xsi:nil="true"/>
              <w:t>Dispelling cold by warming the meridians, benefiting Qi and nourishing blood, and promoting blood circulation to active the channels</w:t>
            </w:r>
          </w:p>
        </w:tc>
        <w:tc>
          <w:tcPr>
            <w:tcBorders/>
          </w:tcPr>
          <w:tcPr>
            <w:vAlign w:val="top"/>
          </w:tcPr>
          <w:p>
            <w:pPr>
              <w:jc w:val="center"/>
            </w:pPr>
            <w:r/>
            <w:r>
              <w:rPr xsi:nil="true"/>
              <w:t>3</w:t>
            </w:r>
          </w:p>
        </w:tc>
        <w:tc>
          <w:tcPr>
            <w:tcBorders/>
          </w:tcPr>
          <w:tcPr>
            <w:vAlign w:val="top"/>
          </w:tcPr>
          <w:p>
            <w:pPr>
              <w:jc w:val="center"/>
            </w:pPr>
            <w:r/>
            <w:r>
              <w:rPr xsi:nil="true"/>
              <w:t>5.88</w:t>
            </w:r>
          </w:p>
        </w:tc>
      </w:tr>
      <w:tr>
        <w:tc>
          <w:tcPr>
            <w:tcBorders/>
          </w:tcPr>
          <w:tcPr>
            <w:vAlign w:val="center"/>
          </w:tcPr>
          <w:p>
            <w:pPr>
              <w:jc w:val="left"/>
            </w:pPr>
            <w:r/>
            <w:r>
              <w:rPr xsi:nil="true"/>
              <w:t>Warming Yang for diuresis, and eliminating turbidity</w:t>
            </w:r>
          </w:p>
        </w:tc>
        <w:tc>
          <w:tcPr>
            <w:tcBorders/>
          </w:tcPr>
          <w:tcPr>
            <w:vAlign w:val="center"/>
          </w:tcPr>
          <w:p>
            <w:pPr>
              <w:jc w:val="center"/>
            </w:pPr>
            <w:r/>
            <w:r>
              <w:rPr xsi:nil="true"/>
              <w:t>3</w:t>
            </w:r>
          </w:p>
        </w:tc>
        <w:tc>
          <w:tcPr>
            <w:tcBorders/>
          </w:tcPr>
          <w:tcPr>
            <w:vAlign w:val="center"/>
          </w:tcPr>
          <w:p>
            <w:pPr>
              <w:jc w:val="center"/>
            </w:pPr>
            <w:r/>
            <w:r>
              <w:rPr xsi:nil="true"/>
              <w:t>5.88</w:t>
            </w:r>
          </w:p>
        </w:tc>
      </w:tr>
      <w:tr>
        <w:tc>
          <w:tcPr>
            <w:tcBorders/>
          </w:tcPr>
          <w:tcPr>
            <w:vAlign w:val="center"/>
          </w:tcPr>
          <w:p>
            <w:pPr>
              <w:jc w:val="left"/>
            </w:pPr>
            <w:r/>
            <w:r>
              <w:rPr xsi:nil="true"/>
              <w:t>Nourishing Yin and subsiding Yang, and restoring the coordination between the heart and kidney</w:t>
            </w:r>
          </w:p>
        </w:tc>
        <w:tc>
          <w:tcPr>
            <w:tcBorders/>
          </w:tcPr>
          <w:tcPr>
            <w:vAlign w:val="center"/>
          </w:tcPr>
          <w:p>
            <w:pPr>
              <w:jc w:val="center"/>
            </w:pPr>
            <w:r/>
            <w:r>
              <w:rPr xsi:nil="true"/>
              <w:t>3</w:t>
            </w:r>
          </w:p>
        </w:tc>
        <w:tc>
          <w:tcPr>
            <w:tcBorders/>
          </w:tcPr>
          <w:tcPr>
            <w:vAlign w:val="center"/>
          </w:tcPr>
          <w:p>
            <w:pPr>
              <w:jc w:val="center"/>
            </w:pPr>
            <w:r/>
            <w:r>
              <w:rPr xsi:nil="true"/>
              <w:t>5.88</w:t>
            </w:r>
          </w:p>
        </w:tc>
      </w:tr>
      <w:tr>
        <w:tc>
          <w:tcPr>
            <w:tcBorders/>
          </w:tcPr>
          <w:tcPr>
            <w:vAlign w:val="center"/>
          </w:tcPr>
          <w:p>
            <w:pPr>
              <w:jc w:val="left"/>
            </w:pPr>
            <w:r/>
            <w:r>
              <w:rPr xsi:nil="true"/>
              <w:t>Relieving heat and removing phlegm, and invigorating the spleen and clearing the stomach</w:t>
            </w:r>
          </w:p>
        </w:tc>
        <w:tc>
          <w:tcPr>
            <w:tcBorders/>
          </w:tcPr>
          <w:tcPr>
            <w:vAlign w:val="center"/>
          </w:tcPr>
          <w:p>
            <w:pPr>
              <w:jc w:val="center"/>
            </w:pPr>
            <w:r/>
            <w:r>
              <w:rPr xsi:nil="true"/>
              <w:t>2</w:t>
            </w:r>
          </w:p>
        </w:tc>
        <w:tc>
          <w:tcPr>
            <w:tcBorders/>
          </w:tcPr>
          <w:tcPr>
            <w:vAlign w:val="center"/>
          </w:tcPr>
          <w:p>
            <w:pPr>
              <w:jc w:val="center"/>
            </w:pPr>
            <w:r/>
            <w:r>
              <w:rPr xsi:nil="true"/>
              <w:t>3.92</w:t>
            </w:r>
          </w:p>
        </w:tc>
      </w:tr>
      <w:tr>
        <w:tc>
          <w:tcPr>
            <w:tcBorders/>
          </w:tcPr>
          <w:tcPr>
            <w:vAlign w:val="center"/>
          </w:tcPr>
          <w:p>
            <w:pPr>
              <w:jc w:val="left"/>
            </w:pPr>
            <w:r/>
            <w:r>
              <w:rPr xsi:nil="true"/>
              <w:t>Dispelling cold and dampness and relieving heat, and nourishing blood and activating the channels tostop the pain</w:t>
            </w:r>
          </w:p>
        </w:tc>
        <w:tc>
          <w:tcPr>
            <w:tcBorders/>
          </w:tcPr>
          <w:tcPr>
            <w:vAlign w:val="top"/>
          </w:tcPr>
          <w:p>
            <w:pPr>
              <w:jc w:val="center"/>
            </w:pPr>
            <w:r/>
            <w:r>
              <w:rPr xsi:nil="true"/>
              <w:t>2</w:t>
            </w:r>
          </w:p>
        </w:tc>
        <w:tc>
          <w:tcPr>
            <w:tcBorders/>
          </w:tcPr>
          <w:tcPr>
            <w:vAlign w:val="top"/>
          </w:tcPr>
          <w:p>
            <w:pPr>
              <w:jc w:val="center"/>
            </w:pPr>
            <w:r/>
            <w:r>
              <w:rPr xsi:nil="true"/>
              <w:t>3.92</w:t>
            </w:r>
          </w:p>
        </w:tc>
      </w:tr>
      <w:tr>
        <w:tc>
          <w:tcPr>
            <w:tcBorders/>
          </w:tcPr>
          <w:tcPr>
            <w:vAlign w:val="center"/>
          </w:tcPr>
          <w:p>
            <w:pPr>
              <w:jc w:val="left"/>
            </w:pPr>
            <w:r/>
            <w:r>
              <w:rPr xsi:nil="true"/>
              <w:t>Relieving heat and purging pathogenic fire, benefiting Qi and invigorating Yin, and suppressing hyperactive liver and subsiding Yang</w:t>
            </w:r>
          </w:p>
        </w:tc>
        <w:tc>
          <w:tcPr>
            <w:tcBorders/>
          </w:tcPr>
          <w:tcPr>
            <w:vAlign w:val="top"/>
          </w:tcPr>
          <w:p>
            <w:pPr>
              <w:jc w:val="center"/>
            </w:pPr>
            <w:r/>
            <w:r>
              <w:rPr xsi:nil="true"/>
              <w:t>1</w:t>
            </w:r>
          </w:p>
        </w:tc>
        <w:tc>
          <w:tcPr>
            <w:tcBorders/>
          </w:tcPr>
          <w:tcPr>
            <w:vAlign w:val="top"/>
          </w:tcPr>
          <w:p>
            <w:pPr>
              <w:jc w:val="center"/>
            </w:pPr>
            <w:r/>
            <w:r>
              <w:rPr xsi:nil="true"/>
              <w:t>1.97</w:t>
            </w:r>
          </w:p>
        </w:tc>
      </w:tr>
      <w:tr>
        <w:tc>
          <w:tcPr>
            <w:tcBorders/>
          </w:tcPr>
          <w:tcPr>
            <w:vAlign w:val="center"/>
          </w:tcPr>
          <w:p>
            <w:pPr>
              <w:jc w:val="left"/>
            </w:pPr>
            <w:r/>
            <w:r>
              <w:rPr xsi:nil="true"/>
              <w:t>Removing phlegm and dispelling blood stasis, and activating Yang and removing obstructions</w:t>
            </w:r>
          </w:p>
        </w:tc>
        <w:tc>
          <w:tcPr>
            <w:tcBorders/>
          </w:tcPr>
          <w:tcPr>
            <w:vAlign w:val="top"/>
          </w:tcPr>
          <w:p>
            <w:pPr>
              <w:jc w:val="center"/>
            </w:pPr>
            <w:r/>
            <w:r>
              <w:rPr xsi:nil="true"/>
              <w:t>1</w:t>
            </w:r>
          </w:p>
        </w:tc>
        <w:tc>
          <w:tcPr>
            <w:tcBorders/>
          </w:tcPr>
          <w:tcPr>
            <w:vAlign w:val="top"/>
          </w:tcPr>
          <w:p>
            <w:pPr>
              <w:jc w:val="center"/>
            </w:pPr>
            <w:r/>
            <w:r>
              <w:rPr xsi:nil="true"/>
              <w:t>1.97</w:t>
            </w:r>
          </w:p>
        </w:tc>
      </w:tr>
      <w:tr>
        <w:tc>
          <w:tcPr>
            <w:tcBorders>
              <w:bottom w:val="basicThinLines"/>
            </w:tcBorders>
          </w:tcPr>
          <w:tcPr>
            <w:vAlign w:val="center"/>
          </w:tcPr>
          <w:p>
            <w:pPr>
              <w:jc w:val="left"/>
            </w:pPr>
            <w:r/>
            <w:r>
              <w:rPr xsi:nil="true"/>
              <w:t>Other (Homemade prescriptions)</w:t>
            </w:r>
          </w:p>
        </w:tc>
        <w:tc>
          <w:tcPr>
            <w:tcBorders>
              <w:bottom w:val="basicThinLines"/>
            </w:tcBorders>
          </w:tcPr>
          <w:tcPr>
            <w:vAlign w:val="center"/>
          </w:tcPr>
          <w:p>
            <w:pPr>
              <w:jc w:val="center"/>
            </w:pPr>
            <w:r/>
            <w:r>
              <w:rPr xsi:nil="true"/>
              <w:t>11</w:t>
            </w:r>
          </w:p>
        </w:tc>
        <w:tc>
          <w:tcPr>
            <w:tcBorders>
              <w:bottom w:val="basicThinLines"/>
            </w:tcBorders>
          </w:tcPr>
          <w:tcPr>
            <w:vAlign w:val="center"/>
          </w:tcPr>
          <w:p>
            <w:pPr>
              <w:jc w:val="center"/>
            </w:pPr>
            <w:r/>
            <w:r>
              <w:rPr xsi:nil="true"/>
              <w:t>21.58</w:t>
            </w:r>
          </w:p>
        </w:tc>
      </w:tr>
      <w:tr>
        <w:tc>
          <w:tcPr>
            <w:hMerge w:val="restart"/>
          </w:tcPr>
          <w:tcPr>
            <w:tcBorders/>
          </w:tcPr>
          <w:tcPr>
            <w:vAlign w:val="center"/>
          </w:tcPr>
          <w:p>
            <w:pPr>
              <w:jc w:val="left"/>
            </w:pPr>
            <w:r/>
            <w:r>
              <w:rPr xsi:nil="true"/>
              <w:t>Relative frequency = frequency of treatment methods/number of all medical records.</w:t>
            </w:r>
          </w:p>
        </w:tc>
        <w:tc>
          <w:tcPr>
            <w:hMerge w:val="continue"/>
          </w:tcPr>
          <w:p/>
        </w:tc>
        <w:tc>
          <w:tcPr>
            <w:hMerge w:val="continue"/>
          </w:tcPr>
          <w:p/>
        </w:tc>
      </w:tr>
      <w:tr>
        <w:tc>
          <w:p/>
        </w:tc>
        <w:tc>
          <w:p/>
        </w:tc>
        <w:tc>
          <w:p/>
        </w:tc>
      </w:tr>
    </w:tbl>
    <w:p>
      <w:pPr>
        <w:ind w:firstLine="420"/>
        <w:rPr>
          <w:rFonts w:ascii="Times New Roman" w:hAnsi="宋体"/>
          <w:sz w:val="24"/>
          <w:szCs w:val="24"/>
        </w:rPr>
      </w:pPr>
    </w:p>
    <w:p>
      <w:pPr>
        <w:ind w:firstLine="480" w:firstLineChars="200"/>
        <w:rPr>
          <w:rFonts w:ascii="Times New Roman" w:hAnsi="宋体"/>
          <w:sz w:val="24"/>
          <w:szCs w:val="24"/>
        </w:rPr>
      </w:pPr>
    </w:p>
    <w:p>
      <w:pPr>
        <w:spacing w:after="156" w:afterLines="50" w:line="360" w:lineRule="auto"/>
        <w:ind w:firstLine="482" w:firstLineChars="200"/>
        <w:jc w:val="center"/>
        <w:rPr>
          <w:rFonts w:ascii="Times New Roman" w:hAnsi="宋体"/>
          <w:sz w:val="24"/>
          <w:szCs w:val="24"/>
        </w:rPr>
      </w:pPr>
      <w:r>
        <w:rPr>
          <w:rFonts w:ascii="Times New Roman" w:hAnsi="宋体" w:hint="eastAsia"/>
          <w:b/>
          <w:bCs/>
          <w:sz w:val="24"/>
          <w:szCs w:val="24"/>
        </w:rPr>
        <w:t xml:space="preserve">Table 3 </w:t>
      </w:r>
      <w:r>
        <w:rPr>
          <w:rFonts w:ascii="Times New Roman" w:hAnsi="宋体" w:hint="eastAsia"/>
          <w:sz w:val="24"/>
          <w:szCs w:val="24"/>
        </w:rPr>
        <w:t xml:space="preserve"> Frequency of 15 different prescriptions among the 51 medical records under the </w:t>
      </w:r>
      <w:r>
        <w:rPr>
          <w:rFonts w:ascii="Times New Roman" w:hAnsi="宋体" w:hint="eastAsia"/>
          <w:i w:val="true"/>
          <w:sz w:val="24"/>
          <w:szCs w:val="24"/>
        </w:rPr>
        <w:t>New Theory on Spleen Dampness Syndrome</w:t>
      </w:r>
    </w:p>
    <w:tbl>
      <w:tblPr>
        <w:tblStyleColBandSize w:val="30"/>
        <w:tblW w:w="8300" w:type="dxa"/>
        <w:jc w:val="center"/>
        <w:tblBorders>
          <w:top w:val="single"/>
          <w:left w:val="single"/>
          <w:bottom w:val="single"/>
          <w:right w:val="single"/>
          <w:insideH w:val="none" w:sz="0" w:space="0" w:color=""/>
          <w:insideV w:val="none" w:sz="0" w:space="0" w:color=""/>
        </w:tblBorders>
        <w:tblBorders>
          <w:top xsi:nil="true"/>
          <w:left xsi:nil="true"/>
          <w:bottom xsi:nil="true"/>
          <w:right xsi:nil="true"/>
        </w:tblBorders>
        <w:tblCellMar>
          <w:top w:type="dxa" w:w="0"/>
          <w:left w:type="dxa" w:w="30"/>
          <w:bottom w:type="dxa" w:w="0"/>
          <w:right w:type="dxa" w:w="30"/>
        </w:tblCellMar>
      </w:tblPr>
      <w:tr>
        <w:tc>
          <w:tcPr>
            <w:tcBorders>
              <w:top w:val="basicThinLines"/>
            </w:tcBorders>
          </w:tcPr>
          <w:tcPr>
            <w:vAlign w:val="center"/>
          </w:tcPr>
          <w:p>
            <w:pPr>
              <w:jc w:val="center"/>
            </w:pPr>
            <w:r/>
            <w:r>
              <w:rPr xsi:nil="true">
                <w:b w:val="true"/>
              </w:rPr>
              <w:t>Prescription</w:t>
            </w:r>
          </w:p>
        </w:tc>
        <w:tc>
          <w:tcPr>
            <w:tcBorders>
              <w:top w:val="basicThinLines"/>
            </w:tcBorders>
          </w:tcPr>
          <w:tcPr>
            <w:vAlign w:val="center"/>
          </w:tcPr>
          <w:p>
            <w:pPr>
              <w:jc w:val="center"/>
            </w:pPr>
            <w:r/>
            <w:r>
              <w:rPr xsi:nil="true">
                <w:b w:val="true"/>
              </w:rPr>
              <w:t>Frequency</w:t>
            </w:r>
            <w:r>
              <w:rPr xsi:nil="true">
                <w:b w:val="true"/>
              </w:rPr>
              <w:t xml:space="preserve"> (</w:t>
            </w:r>
            <w:r>
              <w:rPr xsi:nil="true">
                <w:b w:val="true"/>
                <w:i w:val="true"/>
              </w:rPr>
              <w:t>n</w:t>
            </w:r>
            <w:r>
              <w:rPr xsi:nil="true">
                <w:b w:val="true"/>
              </w:rPr>
              <w:t>)</w:t>
            </w:r>
          </w:p>
        </w:tc>
        <w:tc>
          <w:tcPr>
            <w:tcBorders>
              <w:top w:val="basicThinLines"/>
            </w:tcBorders>
          </w:tcPr>
          <w:tcPr>
            <w:vAlign w:val="center"/>
          </w:tcPr>
          <w:p>
            <w:pPr>
              <w:jc w:val="center"/>
            </w:pPr>
            <w:r/>
            <w:r>
              <w:rPr xsi:nil="true">
                <w:b w:val="true"/>
              </w:rPr>
              <w:t>Relative frequency (%)</w:t>
            </w:r>
          </w:p>
        </w:tc>
      </w:tr>
      <w:tr>
        <w:tc>
          <w:tcPr>
            <w:tcBorders>
              <w:top w:val="basicThinLines"/>
            </w:tcBorders>
          </w:tcPr>
          <w:tcPr>
            <w:vAlign w:val="center"/>
          </w:tcPr>
          <w:p>
            <w:pPr>
              <w:jc w:val="left"/>
            </w:pPr>
            <w:r/>
            <w:r>
              <w:rPr xsi:nil="true"/>
              <w:t>Huangqi Guizhi Wuwu Tang (黄芪桂枝五物汤)</w:t>
            </w:r>
          </w:p>
        </w:tc>
        <w:tc>
          <w:tcPr>
            <w:tcBorders>
              <w:top w:val="basicThinLines"/>
            </w:tcBorders>
          </w:tcPr>
          <w:tcPr>
            <w:vAlign w:val="center"/>
          </w:tcPr>
          <w:p>
            <w:pPr>
              <w:jc w:val="center"/>
            </w:pPr>
            <w:r/>
            <w:r>
              <w:rPr xsi:nil="true"/>
              <w:t>7</w:t>
            </w:r>
          </w:p>
        </w:tc>
        <w:tc>
          <w:tcPr>
            <w:tcBorders>
              <w:top w:val="basicThinLines"/>
            </w:tcBorders>
          </w:tcPr>
          <w:tcPr>
            <w:vAlign w:val="center"/>
          </w:tcPr>
          <w:p>
            <w:pPr>
              <w:jc w:val="center"/>
            </w:pPr>
            <w:r/>
            <w:r>
              <w:rPr xsi:nil="true"/>
              <w:t xml:space="preserve">13.73  </w:t>
            </w:r>
          </w:p>
        </w:tc>
      </w:tr>
      <w:tr>
        <w:tc>
          <w:tcPr>
            <w:tcBorders/>
          </w:tcPr>
          <w:tcPr>
            <w:vAlign w:val="center"/>
          </w:tcPr>
          <w:p>
            <w:pPr>
              <w:jc w:val="left"/>
            </w:pPr>
            <w:r/>
            <w:r>
              <w:rPr xsi:nil="true"/>
              <w:t>Gualou Xiebai Banxia Tang (瓜蒌薤白半夏汤)</w:t>
            </w:r>
          </w:p>
        </w:tc>
        <w:tc>
          <w:tcPr>
            <w:tcBorders/>
          </w:tcPr>
          <w:tcPr>
            <w:vAlign w:val="center"/>
          </w:tcPr>
          <w:p>
            <w:pPr>
              <w:jc w:val="center"/>
            </w:pPr>
            <w:r/>
            <w:r>
              <w:rPr xsi:nil="true"/>
              <w:t>6</w:t>
            </w:r>
          </w:p>
        </w:tc>
        <w:tc>
          <w:tcPr>
            <w:tcBorders/>
          </w:tcPr>
          <w:tcPr>
            <w:vAlign w:val="center"/>
          </w:tcPr>
          <w:p>
            <w:pPr>
              <w:jc w:val="center"/>
            </w:pPr>
            <w:r/>
            <w:r>
              <w:rPr xsi:nil="true"/>
              <w:t xml:space="preserve">11.76  </w:t>
            </w:r>
          </w:p>
        </w:tc>
      </w:tr>
      <w:tr>
        <w:tc>
          <w:tcPr>
            <w:tcBorders/>
          </w:tcPr>
          <w:tcPr>
            <w:vAlign w:val="center"/>
          </w:tcPr>
          <w:p>
            <w:pPr>
              <w:jc w:val="left"/>
            </w:pPr>
            <w:r/>
            <w:r>
              <w:rPr xsi:nil="true"/>
              <w:t>Ganjiang Huangqin Huanglian Renshen Tang (干姜黄芩黄连人参汤)</w:t>
            </w:r>
          </w:p>
        </w:tc>
        <w:tc>
          <w:tcPr>
            <w:tcBorders/>
          </w:tcPr>
          <w:tcPr>
            <w:vAlign w:val="center"/>
          </w:tcPr>
          <w:p>
            <w:pPr>
              <w:jc w:val="center"/>
            </w:pPr>
            <w:r/>
            <w:r>
              <w:rPr xsi:nil="true"/>
              <w:t>5</w:t>
            </w:r>
          </w:p>
        </w:tc>
        <w:tc>
          <w:tcPr>
            <w:tcBorders/>
          </w:tcPr>
          <w:tcPr>
            <w:vAlign w:val="center"/>
          </w:tcPr>
          <w:p>
            <w:pPr>
              <w:jc w:val="center"/>
            </w:pPr>
            <w:r/>
            <w:r>
              <w:rPr xsi:nil="true"/>
              <w:t>9.80</w:t>
            </w:r>
          </w:p>
        </w:tc>
      </w:tr>
      <w:tr>
        <w:tc>
          <w:tcPr>
            <w:tcBorders/>
          </w:tcPr>
          <w:tcPr>
            <w:vAlign w:val="center"/>
          </w:tcPr>
          <w:p>
            <w:pPr>
              <w:jc w:val="left"/>
            </w:pPr>
            <w:r/>
            <w:r>
              <w:rPr xsi:nil="true"/>
              <w:t>Didang Tang (抵当汤)</w:t>
            </w:r>
          </w:p>
        </w:tc>
        <w:tc>
          <w:tcPr>
            <w:tcBorders/>
          </w:tcPr>
          <w:tcPr>
            <w:vAlign w:val="center"/>
          </w:tcPr>
          <w:p>
            <w:pPr>
              <w:jc w:val="center"/>
            </w:pPr>
            <w:r/>
            <w:r>
              <w:rPr xsi:nil="true"/>
              <w:t>4</w:t>
            </w:r>
          </w:p>
        </w:tc>
        <w:tc>
          <w:tcPr>
            <w:tcBorders/>
          </w:tcPr>
          <w:tcPr>
            <w:vAlign w:val="center"/>
          </w:tcPr>
          <w:p>
            <w:pPr>
              <w:jc w:val="center"/>
            </w:pPr>
            <w:r/>
            <w:r>
              <w:rPr xsi:nil="true"/>
              <w:t>7.85</w:t>
            </w:r>
          </w:p>
        </w:tc>
      </w:tr>
      <w:tr>
        <w:tc>
          <w:tcPr>
            <w:tcBorders/>
          </w:tcPr>
          <w:tcPr>
            <w:vAlign w:val="center"/>
          </w:tcPr>
          <w:p>
            <w:pPr>
              <w:jc w:val="left"/>
            </w:pPr>
            <w:r/>
            <w:r>
              <w:rPr xsi:nil="true"/>
              <w:t>Danggui Sini Tang (当归四逆汤)</w:t>
            </w:r>
          </w:p>
        </w:tc>
        <w:tc>
          <w:tcPr>
            <w:tcBorders/>
          </w:tcPr>
          <w:tcPr>
            <w:vAlign w:val="center"/>
          </w:tcPr>
          <w:p>
            <w:pPr>
              <w:jc w:val="center"/>
            </w:pPr>
            <w:r/>
            <w:r>
              <w:rPr xsi:nil="true"/>
              <w:t>4</w:t>
            </w:r>
          </w:p>
        </w:tc>
        <w:tc>
          <w:tcPr>
            <w:tcBorders/>
          </w:tcPr>
          <w:tcPr>
            <w:vAlign w:val="center"/>
          </w:tcPr>
          <w:p>
            <w:pPr>
              <w:jc w:val="center"/>
            </w:pPr>
            <w:r/>
            <w:r>
              <w:rPr xsi:nil="true"/>
              <w:t>7.85</w:t>
            </w:r>
          </w:p>
        </w:tc>
      </w:tr>
      <w:tr>
        <w:tc>
          <w:tcPr>
            <w:tcBorders/>
          </w:tcPr>
          <w:tcPr>
            <w:vAlign w:val="center"/>
          </w:tcPr>
          <w:p>
            <w:pPr>
              <w:jc w:val="left"/>
            </w:pPr>
            <w:r/>
            <w:r>
              <w:rPr xsi:nil="true"/>
              <w:t>Wumei Wan (乌梅丸)</w:t>
            </w:r>
          </w:p>
        </w:tc>
        <w:tc>
          <w:tcPr>
            <w:tcBorders/>
          </w:tcPr>
          <w:tcPr>
            <w:vAlign w:val="center"/>
          </w:tcPr>
          <w:p>
            <w:pPr>
              <w:jc w:val="center"/>
            </w:pPr>
            <w:r/>
            <w:r>
              <w:rPr xsi:nil="true"/>
              <w:t>3</w:t>
            </w:r>
          </w:p>
        </w:tc>
        <w:tc>
          <w:tcPr>
            <w:tcBorders/>
          </w:tcPr>
          <w:tcPr>
            <w:vAlign w:val="center"/>
          </w:tcPr>
          <w:p>
            <w:pPr>
              <w:jc w:val="center"/>
            </w:pPr>
            <w:r/>
            <w:r>
              <w:rPr xsi:nil="true"/>
              <w:t>5.89</w:t>
            </w:r>
          </w:p>
        </w:tc>
      </w:tr>
      <w:tr>
        <w:tc>
          <w:tcPr>
            <w:tcBorders/>
          </w:tcPr>
          <w:tcPr>
            <w:vAlign w:val="center"/>
          </w:tcPr>
          <w:p>
            <w:pPr>
              <w:jc w:val="left"/>
            </w:pPr>
            <w:r/>
            <w:r>
              <w:rPr xsi:nil="true"/>
              <w:t>Qidan Junzhi Tang (芪丹军蛭汤)</w:t>
            </w:r>
          </w:p>
        </w:tc>
        <w:tc>
          <w:tcPr>
            <w:tcBorders/>
          </w:tcPr>
          <w:tcPr>
            <w:vAlign w:val="center"/>
          </w:tcPr>
          <w:p>
            <w:pPr>
              <w:jc w:val="center"/>
            </w:pPr>
            <w:r/>
            <w:r>
              <w:rPr xsi:nil="true"/>
              <w:t>3</w:t>
            </w:r>
          </w:p>
        </w:tc>
        <w:tc>
          <w:tcPr>
            <w:tcBorders/>
          </w:tcPr>
          <w:tcPr>
            <w:vAlign w:val="center"/>
          </w:tcPr>
          <w:p>
            <w:pPr>
              <w:jc w:val="center"/>
            </w:pPr>
            <w:r/>
            <w:r>
              <w:rPr xsi:nil="true"/>
              <w:t>5.89</w:t>
            </w:r>
          </w:p>
        </w:tc>
      </w:tr>
      <w:tr>
        <w:tc>
          <w:tcPr>
            <w:tcBorders/>
          </w:tcPr>
          <w:tcPr>
            <w:vAlign w:val="center"/>
          </w:tcPr>
          <w:p>
            <w:pPr>
              <w:jc w:val="left"/>
            </w:pPr>
            <w:r/>
            <w:r>
              <w:rPr xsi:nil="true"/>
              <w:t>Didang Tang combined with Buyang Huanwu Tang (抵当汤合补阳还五汤)</w:t>
            </w:r>
          </w:p>
        </w:tc>
        <w:tc>
          <w:tcPr>
            <w:tcBorders/>
          </w:tcPr>
          <w:tcPr>
            <w:vAlign w:val="center"/>
          </w:tcPr>
          <w:p>
            <w:pPr>
              <w:jc w:val="center"/>
            </w:pPr>
            <w:r/>
            <w:r>
              <w:rPr xsi:nil="true"/>
              <w:t>3</w:t>
            </w:r>
          </w:p>
        </w:tc>
        <w:tc>
          <w:tcPr>
            <w:tcBorders/>
          </w:tcPr>
          <w:tcPr>
            <w:vAlign w:val="center"/>
          </w:tcPr>
          <w:p>
            <w:pPr>
              <w:jc w:val="center"/>
            </w:pPr>
            <w:r/>
            <w:r>
              <w:rPr xsi:nil="true"/>
              <w:t>5.89</w:t>
            </w:r>
          </w:p>
        </w:tc>
      </w:tr>
      <w:tr>
        <w:tc>
          <w:tcPr>
            <w:tcBorders/>
          </w:tcPr>
          <w:tcPr>
            <w:vAlign w:val="center"/>
          </w:tcPr>
          <w:p>
            <w:pPr>
              <w:jc w:val="left"/>
            </w:pPr>
            <w:r/>
            <w:r>
              <w:rPr xsi:nil="true"/>
              <w:t>Da Wutou Jian (大乌头煎)</w:t>
            </w:r>
          </w:p>
        </w:tc>
        <w:tc>
          <w:tcPr>
            <w:tcBorders/>
          </w:tcPr>
          <w:tcPr>
            <w:vAlign w:val="center"/>
          </w:tcPr>
          <w:p>
            <w:pPr>
              <w:jc w:val="center"/>
            </w:pPr>
            <w:r/>
            <w:r>
              <w:rPr xsi:nil="true"/>
              <w:t>3</w:t>
            </w:r>
          </w:p>
        </w:tc>
        <w:tc>
          <w:tcPr>
            <w:tcBorders/>
          </w:tcPr>
          <w:tcPr>
            <w:vAlign w:val="center"/>
          </w:tcPr>
          <w:p>
            <w:pPr>
              <w:jc w:val="center"/>
            </w:pPr>
            <w:r/>
            <w:r>
              <w:rPr xsi:nil="true"/>
              <w:t>5.89</w:t>
            </w:r>
          </w:p>
        </w:tc>
      </w:tr>
      <w:tr>
        <w:tc>
          <w:tcPr>
            <w:tcBorders/>
          </w:tcPr>
          <w:tcPr>
            <w:vAlign w:val="center"/>
          </w:tcPr>
          <w:p>
            <w:pPr>
              <w:jc w:val="left"/>
            </w:pPr>
            <w:r/>
            <w:r>
              <w:rPr xsi:nil="true"/>
              <w:t>Lingui Zhugan Tang combined with Dahuang Fuzi Tang (苓桂术甘汤合大黄附子汤)</w:t>
            </w:r>
          </w:p>
        </w:tc>
        <w:tc>
          <w:tcPr>
            <w:tcBorders/>
          </w:tcPr>
          <w:tcPr>
            <w:vAlign w:val="center"/>
          </w:tcPr>
          <w:p>
            <w:pPr>
              <w:jc w:val="center"/>
            </w:pPr>
            <w:r/>
            <w:r>
              <w:rPr xsi:nil="true"/>
              <w:t>3</w:t>
            </w:r>
          </w:p>
        </w:tc>
        <w:tc>
          <w:tcPr>
            <w:tcBorders/>
          </w:tcPr>
          <w:tcPr>
            <w:vAlign w:val="center"/>
          </w:tcPr>
          <w:p>
            <w:pPr>
              <w:jc w:val="center"/>
            </w:pPr>
            <w:r/>
            <w:r>
              <w:rPr xsi:nil="true"/>
              <w:t>5.89</w:t>
            </w:r>
          </w:p>
        </w:tc>
      </w:tr>
      <w:tr>
        <w:tc>
          <w:tcPr>
            <w:tcBorders/>
          </w:tcPr>
          <w:tcPr>
            <w:vAlign w:val="center"/>
          </w:tcPr>
          <w:p>
            <w:pPr>
              <w:jc w:val="left"/>
            </w:pPr>
            <w:r/>
            <w:r>
              <w:rPr xsi:nil="true"/>
              <w:t>Suanzaoren Tang (酸枣仁汤)</w:t>
            </w:r>
          </w:p>
        </w:tc>
        <w:tc>
          <w:tcPr>
            <w:tcBorders/>
          </w:tcPr>
          <w:tcPr>
            <w:vAlign w:val="center"/>
          </w:tcPr>
          <w:p>
            <w:pPr>
              <w:jc w:val="center"/>
            </w:pPr>
            <w:r/>
            <w:r>
              <w:rPr xsi:nil="true"/>
              <w:t>3</w:t>
            </w:r>
          </w:p>
        </w:tc>
        <w:tc>
          <w:tcPr>
            <w:tcBorders/>
          </w:tcPr>
          <w:tcPr>
            <w:vAlign w:val="center"/>
          </w:tcPr>
          <w:p>
            <w:pPr>
              <w:jc w:val="center"/>
            </w:pPr>
            <w:r/>
            <w:r>
              <w:rPr xsi:nil="true"/>
              <w:t>5.89</w:t>
            </w:r>
          </w:p>
        </w:tc>
      </w:tr>
      <w:tr>
        <w:tc>
          <w:tcPr>
            <w:tcBorders/>
          </w:tcPr>
          <w:tcPr>
            <w:vAlign w:val="center"/>
          </w:tcPr>
          <w:p>
            <w:pPr>
              <w:jc w:val="left"/>
            </w:pPr>
            <w:r/>
            <w:r>
              <w:rPr xsi:nil="true"/>
              <w:t>Ganjiang Huangqin Huanglian Renshen Tang combined with Xiao Xianxiong Tang and Didang Tang (干姜黄芩黄连人参汤合小陷胸汤合抵当汤)</w:t>
            </w:r>
          </w:p>
        </w:tc>
        <w:tc>
          <w:tcPr>
            <w:tcBorders/>
          </w:tcPr>
          <w:tcPr>
            <w:vAlign w:val="top"/>
          </w:tcPr>
          <w:p>
            <w:pPr>
              <w:jc w:val="center"/>
            </w:pPr>
            <w:r/>
            <w:r>
              <w:rPr xsi:nil="true"/>
              <w:t>2</w:t>
            </w:r>
          </w:p>
        </w:tc>
        <w:tc>
          <w:tcPr>
            <w:tcBorders/>
          </w:tcPr>
          <w:tcPr>
            <w:vAlign w:val="top"/>
          </w:tcPr>
          <w:p>
            <w:pPr>
              <w:jc w:val="center"/>
            </w:pPr>
            <w:r/>
            <w:r>
              <w:rPr xsi:nil="true"/>
              <w:t>3.90</w:t>
            </w:r>
          </w:p>
        </w:tc>
      </w:tr>
      <w:tr>
        <w:tc>
          <w:tcPr>
            <w:tcBorders/>
          </w:tcPr>
          <w:tcPr>
            <w:vAlign w:val="center"/>
          </w:tcPr>
          <w:p>
            <w:pPr>
              <w:jc w:val="left"/>
            </w:pPr>
            <w:r/>
            <w:r>
              <w:rPr xsi:nil="true"/>
              <w:t>Simiao San combined with Wutou Tang (四妙散合乌头汤)</w:t>
            </w:r>
          </w:p>
        </w:tc>
        <w:tc>
          <w:tcPr>
            <w:tcBorders/>
          </w:tcPr>
          <w:tcPr>
            <w:vAlign w:val="center"/>
          </w:tcPr>
          <w:p>
            <w:pPr>
              <w:jc w:val="center"/>
            </w:pPr>
            <w:r/>
            <w:r>
              <w:rPr xsi:nil="true"/>
              <w:t>2</w:t>
            </w:r>
          </w:p>
        </w:tc>
        <w:tc>
          <w:tcPr>
            <w:tcBorders/>
          </w:tcPr>
          <w:tcPr>
            <w:vAlign w:val="center"/>
          </w:tcPr>
          <w:p>
            <w:pPr>
              <w:jc w:val="center"/>
            </w:pPr>
            <w:r/>
            <w:r>
              <w:rPr xsi:nil="true"/>
              <w:t>3.90</w:t>
            </w:r>
          </w:p>
        </w:tc>
      </w:tr>
      <w:tr>
        <w:tc>
          <w:tcPr>
            <w:tcBorders/>
          </w:tcPr>
          <w:tcPr>
            <w:vAlign w:val="center"/>
          </w:tcPr>
          <w:p>
            <w:pPr>
              <w:jc w:val="left"/>
            </w:pPr>
            <w:r/>
            <w:r>
              <w:rPr xsi:nil="true"/>
              <w:t>Fuzi Xiexin Tang (附子泻心汤)</w:t>
            </w:r>
          </w:p>
        </w:tc>
        <w:tc>
          <w:tcPr>
            <w:tcBorders/>
          </w:tcPr>
          <w:tcPr>
            <w:vAlign w:val="center"/>
          </w:tcPr>
          <w:p>
            <w:pPr>
              <w:jc w:val="center"/>
            </w:pPr>
            <w:r/>
            <w:r>
              <w:rPr xsi:nil="true"/>
              <w:t>2</w:t>
            </w:r>
          </w:p>
        </w:tc>
        <w:tc>
          <w:tcPr>
            <w:tcBorders/>
          </w:tcPr>
          <w:tcPr>
            <w:vAlign w:val="center"/>
          </w:tcPr>
          <w:p>
            <w:pPr>
              <w:jc w:val="center"/>
            </w:pPr>
            <w:r/>
            <w:r>
              <w:rPr xsi:nil="true"/>
              <w:t>3.90</w:t>
            </w:r>
          </w:p>
        </w:tc>
      </w:tr>
      <w:tr>
        <w:tc>
          <w:tcPr>
            <w:tcBorders>
              <w:bottom w:val="basicThinLines"/>
            </w:tcBorders>
          </w:tcPr>
          <w:tcPr>
            <w:vAlign w:val="center"/>
          </w:tcPr>
          <w:p>
            <w:pPr>
              <w:jc w:val="left"/>
            </w:pPr>
            <w:r/>
            <w:r>
              <w:rPr xsi:nil="true"/>
              <w:t>Danggui Liuhuang Tang (当归六黄汤)</w:t>
            </w:r>
          </w:p>
        </w:tc>
        <w:tc>
          <w:tcPr>
            <w:tcBorders>
              <w:bottom w:val="basicThinLines"/>
            </w:tcBorders>
          </w:tcPr>
          <w:tcPr>
            <w:vAlign w:val="center"/>
          </w:tcPr>
          <w:p>
            <w:pPr>
              <w:jc w:val="center"/>
            </w:pPr>
            <w:r/>
            <w:r>
              <w:rPr xsi:nil="true"/>
              <w:t>1</w:t>
            </w:r>
          </w:p>
        </w:tc>
        <w:tc>
          <w:tcPr>
            <w:tcBorders>
              <w:bottom w:val="basicThinLines"/>
            </w:tcBorders>
          </w:tcPr>
          <w:tcPr>
            <w:vAlign w:val="center"/>
          </w:tcPr>
          <w:p>
            <w:pPr>
              <w:jc w:val="center"/>
            </w:pPr>
            <w:r/>
            <w:r>
              <w:rPr xsi:nil="true"/>
              <w:t>1.97</w:t>
            </w:r>
          </w:p>
        </w:tc>
      </w:tr>
      <w:tr>
        <w:tc>
          <w:tcPr>
            <w:hMerge w:val="restart"/>
          </w:tcPr>
          <w:tcPr>
            <w:tcBorders/>
          </w:tcPr>
          <w:tcPr>
            <w:vAlign w:val="center"/>
          </w:tcPr>
          <w:p>
            <w:pPr>
              <w:jc w:val="left"/>
            </w:pPr>
            <w:r/>
            <w:r>
              <w:rPr xsi:nil="true"/>
              <w:t>Relative frequency =   frequency of prescriptions/number of all medical records.</w:t>
            </w:r>
          </w:p>
        </w:tc>
        <w:tc>
          <w:tcPr>
            <w:hMerge w:val="continue"/>
          </w:tcPr>
          <w:p/>
        </w:tc>
        <w:tc>
          <w:tcPr>
            <w:hMerge w:val="continue"/>
          </w:tcPr>
          <w:p/>
        </w:tc>
      </w:tr>
      <w:tr>
        <w:tc>
          <w:p/>
        </w:tc>
        <w:tc>
          <w:p/>
        </w:tc>
        <w:tc>
          <w:p/>
        </w:tc>
      </w:tr>
    </w:tbl>
    <w:p>
      <w:pPr>
        <w:ind w:firstLine="420"/>
        <w:rPr>
          <w:rFonts w:ascii="Times New Roman" w:hAnsi="宋体"/>
          <w:sz w:val="24"/>
          <w:szCs w:val="24"/>
        </w:rPr>
      </w:pPr>
    </w:p>
    <w:p>
      <w:pPr>
        <w:ind w:firstLine="480" w:firstLineChars="200"/>
        <w:rPr>
          <w:rFonts w:ascii="Times New Roman" w:hAnsi="宋体"/>
          <w:sz w:val="24"/>
          <w:szCs w:val="24"/>
        </w:rPr>
      </w:pPr>
    </w:p>
    <w:p>
      <w:pPr>
        <w:spacing w:after="156" w:afterLines="50" w:line="360" w:lineRule="auto"/>
        <w:ind w:firstLine="482" w:firstLineChars="200"/>
        <w:jc w:val="center"/>
        <w:rPr>
          <w:rFonts w:ascii="Times New Roman" w:hAnsi="宋体"/>
          <w:sz w:val="24"/>
          <w:szCs w:val="24"/>
        </w:rPr>
      </w:pPr>
      <w:r>
        <w:rPr>
          <w:rFonts w:ascii="Times New Roman" w:hAnsi="宋体" w:hint="eastAsia"/>
          <w:b/>
          <w:bCs/>
          <w:sz w:val="24"/>
          <w:szCs w:val="24"/>
        </w:rPr>
        <w:t xml:space="preserve">Table 4 </w:t>
      </w:r>
      <w:r>
        <w:rPr>
          <w:rFonts w:ascii="Times New Roman" w:hAnsi="宋体" w:hint="eastAsia"/>
          <w:sz w:val="24"/>
          <w:szCs w:val="24"/>
        </w:rPr>
        <w:t xml:space="preserve"> Frequency of different drugs among the 51 medical records under the </w:t>
      </w:r>
      <w:r>
        <w:rPr>
          <w:rFonts w:ascii="Times New Roman" w:hAnsi="宋体" w:hint="eastAsia"/>
          <w:i w:val="true"/>
          <w:sz w:val="24"/>
          <w:szCs w:val="24"/>
        </w:rPr>
        <w:t xml:space="preserve"> New Theory on Spleen Dampness Syndrome</w:t>
      </w:r>
    </w:p>
    <w:tbl>
      <w:tblPr>
        <w:tblStyleColBandSize w:val="30"/>
        <w:tblW w:w="8300" w:type="dxa"/>
        <w:jc w:val="center"/>
        <w:tblBorders>
          <w:top w:val="single"/>
          <w:left w:val="single"/>
          <w:bottom w:val="single"/>
          <w:right w:val="single"/>
          <w:insideH w:val="none" w:sz="0" w:space="0" w:color=""/>
          <w:insideV w:val="none" w:sz="0" w:space="0" w:color=""/>
        </w:tblBorders>
        <w:tblBorders>
          <w:top xsi:nil="true"/>
          <w:left xsi:nil="true"/>
          <w:bottom xsi:nil="true"/>
          <w:right xsi:nil="true"/>
        </w:tblBorders>
        <w:tblCellMar>
          <w:top w:type="dxa" w:w="0"/>
          <w:left w:type="dxa" w:w="30"/>
          <w:bottom w:type="dxa" w:w="0"/>
          <w:right w:type="dxa" w:w="30"/>
        </w:tblCellMar>
      </w:tblPr>
      <w:tr>
        <w:tc>
          <w:tcPr>
            <w:tcBorders>
              <w:top w:val="basicThinLines"/>
            </w:tcBorders>
          </w:tcPr>
          <w:tcPr>
            <w:vAlign w:val="center"/>
          </w:tcPr>
          <w:p>
            <w:pPr>
              <w:jc w:val="center"/>
            </w:pPr>
            <w:r/>
            <w:r>
              <w:rPr xsi:nil="true">
                <w:b w:val="true"/>
              </w:rPr>
              <w:t>Drug</w:t>
            </w:r>
          </w:p>
        </w:tc>
        <w:tc>
          <w:tcPr>
            <w:tcBorders>
              <w:top w:val="basicThinLines"/>
            </w:tcBorders>
          </w:tcPr>
          <w:tcPr>
            <w:vAlign w:val="center"/>
          </w:tcPr>
          <w:p>
            <w:pPr>
              <w:jc w:val="center"/>
            </w:pPr>
            <w:r/>
            <w:r>
              <w:rPr xsi:nil="true">
                <w:b w:val="true"/>
              </w:rPr>
              <w:t>Frequency</w:t>
            </w:r>
            <w:r>
              <w:rPr xsi:nil="true"/>
              <w:t xml:space="preserve"> </w:t>
            </w:r>
            <w:r>
              <w:rPr xsi:nil="true">
                <w:b w:val="true"/>
              </w:rPr>
              <w:t>(</w:t>
            </w:r>
            <w:r>
              <w:rPr xsi:nil="true">
                <w:b w:val="true"/>
                <w:i w:val="true"/>
              </w:rPr>
              <w:t>n</w:t>
            </w:r>
            <w:r>
              <w:rPr xsi:nil="true">
                <w:b w:val="true"/>
              </w:rPr>
              <w:t xml:space="preserve"> ≥ 10)</w:t>
            </w:r>
          </w:p>
        </w:tc>
        <w:tc>
          <w:tcPr>
            <w:tcBorders>
              <w:top w:val="basicThinLines"/>
            </w:tcBorders>
          </w:tcPr>
          <w:tcPr>
            <w:vAlign w:val="center"/>
          </w:tcPr>
          <w:p>
            <w:pPr>
              <w:jc w:val="center"/>
            </w:pPr>
            <w:r/>
            <w:r>
              <w:rPr xsi:nil="true">
                <w:b w:val="true"/>
              </w:rPr>
              <w:t xml:space="preserve">Relative </w:t>
            </w:r>
            <w:r>
              <w:rPr xsi:nil="true">
                <w:b w:val="true"/>
              </w:rPr>
              <w:t>frequency 1 (%)</w:t>
            </w:r>
          </w:p>
        </w:tc>
        <w:tc>
          <w:tcPr>
            <w:tcBorders>
              <w:top w:val="basicThinLines"/>
            </w:tcBorders>
          </w:tcPr>
          <w:tcPr>
            <w:vAlign w:val="center"/>
          </w:tcPr>
          <w:p>
            <w:pPr>
              <w:jc w:val="center"/>
            </w:pPr>
            <w:r/>
            <w:r>
              <w:rPr xsi:nil="true">
                <w:b w:val="true"/>
              </w:rPr>
              <w:t xml:space="preserve">Relative </w:t>
            </w:r>
            <w:r>
              <w:rPr xsi:nil="true">
                <w:b w:val="true"/>
              </w:rPr>
              <w:t>frequency 2 (%)</w:t>
            </w:r>
          </w:p>
        </w:tc>
      </w:tr>
      <w:tr>
        <w:tc>
          <w:tcPr>
            <w:tcBorders>
              <w:top w:val="basicThinLines"/>
            </w:tcBorders>
          </w:tcPr>
          <w:tcPr>
            <w:vAlign w:val="center"/>
          </w:tcPr>
          <w:p>
            <w:pPr>
              <w:jc w:val="left"/>
            </w:pPr>
            <w:r/>
            <w:r>
              <w:rPr xsi:nil="true"/>
              <w:t>Huanglian (Coptidis Rhizoma)</w:t>
            </w:r>
          </w:p>
        </w:tc>
        <w:tc>
          <w:tcPr>
            <w:tcBorders>
              <w:top w:val="basicThinLines"/>
            </w:tcBorders>
          </w:tcPr>
          <w:tcPr>
            <w:vAlign w:val="center"/>
          </w:tcPr>
          <w:p>
            <w:pPr>
              <w:jc w:val="center"/>
            </w:pPr>
            <w:r/>
            <w:r>
              <w:rPr xsi:nil="true"/>
              <w:t>30</w:t>
            </w:r>
          </w:p>
        </w:tc>
        <w:tc>
          <w:tcPr>
            <w:tcBorders>
              <w:top w:val="basicThinLines"/>
            </w:tcBorders>
          </w:tcPr>
          <w:tcPr>
            <w:vAlign w:val="center"/>
          </w:tcPr>
          <w:p>
            <w:pPr>
              <w:jc w:val="center"/>
            </w:pPr>
            <w:r/>
            <w:r>
              <w:rPr xsi:nil="true"/>
              <w:t>58.82</w:t>
            </w:r>
          </w:p>
        </w:tc>
        <w:tc>
          <w:tcPr>
            <w:tcBorders>
              <w:top w:val="basicThinLines"/>
            </w:tcBorders>
          </w:tcPr>
          <w:tcPr>
            <w:vAlign w:val="center"/>
          </w:tcPr>
          <w:p>
            <w:pPr>
              <w:jc w:val="center"/>
            </w:pPr>
            <w:r/>
            <w:r>
              <w:rPr xsi:nil="true"/>
              <w:t>6.30</w:t>
            </w:r>
          </w:p>
        </w:tc>
      </w:tr>
      <w:tr>
        <w:tc>
          <w:tcPr>
            <w:tcBorders/>
          </w:tcPr>
          <w:tcPr>
            <w:vAlign w:val="center"/>
          </w:tcPr>
          <w:p>
            <w:pPr>
              <w:jc w:val="left"/>
            </w:pPr>
            <w:r/>
            <w:r>
              <w:rPr xsi:nil="true"/>
              <w:t>Huangqi (Astragali Radix)</w:t>
            </w:r>
          </w:p>
        </w:tc>
        <w:tc>
          <w:tcPr>
            <w:tcBorders/>
          </w:tcPr>
          <w:tcPr>
            <w:vAlign w:val="center"/>
          </w:tcPr>
          <w:p>
            <w:pPr>
              <w:jc w:val="center"/>
            </w:pPr>
            <w:r/>
            <w:r>
              <w:rPr xsi:nil="true"/>
              <w:t>26</w:t>
            </w:r>
          </w:p>
        </w:tc>
        <w:tc>
          <w:tcPr>
            <w:tcBorders/>
          </w:tcPr>
          <w:tcPr>
            <w:vAlign w:val="center"/>
          </w:tcPr>
          <w:p>
            <w:pPr>
              <w:jc w:val="center"/>
            </w:pPr>
            <w:r/>
            <w:r>
              <w:rPr xsi:nil="true"/>
              <w:t>50.98</w:t>
            </w:r>
          </w:p>
        </w:tc>
        <w:tc>
          <w:tcPr>
            <w:tcBorders/>
          </w:tcPr>
          <w:tcPr>
            <w:vAlign w:val="center"/>
          </w:tcPr>
          <w:p>
            <w:pPr>
              <w:jc w:val="center"/>
            </w:pPr>
            <w:r/>
            <w:r>
              <w:rPr xsi:nil="true"/>
              <w:t>5.46</w:t>
            </w:r>
          </w:p>
        </w:tc>
      </w:tr>
      <w:tr>
        <w:tc>
          <w:tcPr>
            <w:tcBorders/>
          </w:tcPr>
          <w:tcPr>
            <w:vAlign w:val="center"/>
          </w:tcPr>
          <w:p>
            <w:pPr>
              <w:jc w:val="left"/>
            </w:pPr>
            <w:r/>
            <w:r>
              <w:rPr xsi:nil="true"/>
              <w:t>Jiudahuang (Wine-processed Rhei Radix et Rhizoma)</w:t>
            </w:r>
          </w:p>
        </w:tc>
        <w:tc>
          <w:tcPr>
            <w:tcBorders/>
          </w:tcPr>
          <w:tcPr>
            <w:vAlign w:val="center"/>
          </w:tcPr>
          <w:p>
            <w:pPr>
              <w:jc w:val="center"/>
            </w:pPr>
            <w:r/>
            <w:r>
              <w:rPr xsi:nil="true"/>
              <w:t>24</w:t>
            </w:r>
          </w:p>
        </w:tc>
        <w:tc>
          <w:tcPr>
            <w:tcBorders/>
          </w:tcPr>
          <w:tcPr>
            <w:vAlign w:val="center"/>
          </w:tcPr>
          <w:p>
            <w:pPr>
              <w:jc w:val="center"/>
            </w:pPr>
            <w:r/>
            <w:r>
              <w:rPr xsi:nil="true"/>
              <w:t>47.06</w:t>
            </w:r>
          </w:p>
        </w:tc>
        <w:tc>
          <w:tcPr>
            <w:tcBorders/>
          </w:tcPr>
          <w:tcPr>
            <w:vAlign w:val="center"/>
          </w:tcPr>
          <w:p>
            <w:pPr>
              <w:jc w:val="center"/>
            </w:pPr>
            <w:r/>
            <w:r>
              <w:rPr xsi:nil="true"/>
              <w:t>5.04</w:t>
            </w:r>
          </w:p>
        </w:tc>
      </w:tr>
      <w:tr>
        <w:tc>
          <w:tcPr>
            <w:tcBorders/>
          </w:tcPr>
          <w:tcPr>
            <w:vAlign w:val="center"/>
          </w:tcPr>
          <w:p>
            <w:pPr>
              <w:jc w:val="left"/>
            </w:pPr>
            <w:r/>
            <w:r>
              <w:rPr xsi:nil="true"/>
              <w:t>Jixueteng (Spatholobi Caulis)</w:t>
            </w:r>
          </w:p>
        </w:tc>
        <w:tc>
          <w:tcPr>
            <w:tcBorders/>
          </w:tcPr>
          <w:tcPr>
            <w:vAlign w:val="center"/>
          </w:tcPr>
          <w:p>
            <w:pPr>
              <w:jc w:val="center"/>
            </w:pPr>
            <w:r/>
            <w:r>
              <w:rPr xsi:nil="true"/>
              <w:t>19</w:t>
            </w:r>
          </w:p>
        </w:tc>
        <w:tc>
          <w:tcPr>
            <w:tcBorders/>
          </w:tcPr>
          <w:tcPr>
            <w:vAlign w:val="center"/>
          </w:tcPr>
          <w:p>
            <w:pPr>
              <w:jc w:val="center"/>
            </w:pPr>
            <w:r/>
            <w:r>
              <w:rPr xsi:nil="true"/>
              <w:t>37.25</w:t>
            </w:r>
          </w:p>
        </w:tc>
        <w:tc>
          <w:tcPr>
            <w:tcBorders/>
          </w:tcPr>
          <w:tcPr>
            <w:vAlign w:val="center"/>
          </w:tcPr>
          <w:p>
            <w:pPr>
              <w:jc w:val="center"/>
            </w:pPr>
            <w:r/>
            <w:r>
              <w:rPr xsi:nil="true"/>
              <w:t>3.99</w:t>
            </w:r>
          </w:p>
        </w:tc>
      </w:tr>
      <w:tr>
        <w:tc>
          <w:tcPr>
            <w:tcBorders/>
          </w:tcPr>
          <w:tcPr>
            <w:vAlign w:val="center"/>
          </w:tcPr>
          <w:p>
            <w:pPr>
              <w:jc w:val="left"/>
            </w:pPr>
            <w:r/>
            <w:r>
              <w:rPr xsi:nil="true"/>
              <w:t>Shengjiang (Zingiberis Rhizoma Recens)</w:t>
            </w:r>
          </w:p>
        </w:tc>
        <w:tc>
          <w:tcPr>
            <w:tcBorders/>
          </w:tcPr>
          <w:tcPr>
            <w:vAlign w:val="center"/>
          </w:tcPr>
          <w:p>
            <w:pPr>
              <w:jc w:val="center"/>
            </w:pPr>
            <w:r/>
            <w:r>
              <w:rPr xsi:nil="true"/>
              <w:t>18</w:t>
            </w:r>
          </w:p>
        </w:tc>
        <w:tc>
          <w:tcPr>
            <w:tcBorders/>
          </w:tcPr>
          <w:tcPr>
            <w:vAlign w:val="center"/>
          </w:tcPr>
          <w:p>
            <w:pPr>
              <w:jc w:val="center"/>
            </w:pPr>
            <w:r/>
            <w:r>
              <w:rPr xsi:nil="true"/>
              <w:t>35.29</w:t>
            </w:r>
          </w:p>
        </w:tc>
        <w:tc>
          <w:tcPr>
            <w:tcBorders/>
          </w:tcPr>
          <w:tcPr>
            <w:vAlign w:val="center"/>
          </w:tcPr>
          <w:p>
            <w:pPr>
              <w:jc w:val="center"/>
            </w:pPr>
            <w:r/>
            <w:r>
              <w:rPr xsi:nil="true"/>
              <w:t>3.78</w:t>
            </w:r>
          </w:p>
        </w:tc>
      </w:tr>
      <w:tr>
        <w:tc>
          <w:tcPr>
            <w:tcBorders/>
          </w:tcPr>
          <w:tcPr>
            <w:vAlign w:val="center"/>
          </w:tcPr>
          <w:p>
            <w:pPr>
              <w:jc w:val="left"/>
            </w:pPr>
            <w:r/>
            <w:r>
              <w:rPr xsi:nil="true"/>
              <w:t>Huangqin (Scutellariae Radix)</w:t>
            </w:r>
          </w:p>
        </w:tc>
        <w:tc>
          <w:tcPr>
            <w:tcBorders/>
          </w:tcPr>
          <w:tcPr>
            <w:vAlign w:val="center"/>
          </w:tcPr>
          <w:p>
            <w:pPr>
              <w:jc w:val="center"/>
            </w:pPr>
            <w:r/>
            <w:r>
              <w:rPr xsi:nil="true"/>
              <w:t>15</w:t>
            </w:r>
          </w:p>
        </w:tc>
        <w:tc>
          <w:tcPr>
            <w:tcBorders/>
          </w:tcPr>
          <w:tcPr>
            <w:vAlign w:val="center"/>
          </w:tcPr>
          <w:p>
            <w:pPr>
              <w:jc w:val="center"/>
            </w:pPr>
            <w:r/>
            <w:r>
              <w:rPr xsi:nil="true"/>
              <w:t>29.41</w:t>
            </w:r>
          </w:p>
        </w:tc>
        <w:tc>
          <w:tcPr>
            <w:tcBorders/>
          </w:tcPr>
          <w:tcPr>
            <w:vAlign w:val="center"/>
          </w:tcPr>
          <w:p>
            <w:pPr>
              <w:jc w:val="center"/>
            </w:pPr>
            <w:r/>
            <w:r>
              <w:rPr xsi:nil="true"/>
              <w:t>3.15</w:t>
            </w:r>
          </w:p>
        </w:tc>
      </w:tr>
      <w:tr>
        <w:tc>
          <w:tcPr>
            <w:tcBorders/>
          </w:tcPr>
          <w:tcPr>
            <w:vAlign w:val="center"/>
          </w:tcPr>
          <w:p>
            <w:pPr>
              <w:jc w:val="left"/>
            </w:pPr>
            <w:r/>
            <w:r>
              <w:rPr xsi:nil="true"/>
              <w:t>Guizhi (Cinnamomi Ramulus)</w:t>
            </w:r>
          </w:p>
        </w:tc>
        <w:tc>
          <w:tcPr>
            <w:tcBorders/>
          </w:tcPr>
          <w:tcPr>
            <w:vAlign w:val="center"/>
          </w:tcPr>
          <w:p>
            <w:pPr>
              <w:jc w:val="center"/>
            </w:pPr>
            <w:r/>
            <w:r>
              <w:rPr xsi:nil="true"/>
              <w:t>15</w:t>
            </w:r>
          </w:p>
        </w:tc>
        <w:tc>
          <w:tcPr>
            <w:tcBorders/>
          </w:tcPr>
          <w:tcPr>
            <w:vAlign w:val="center"/>
          </w:tcPr>
          <w:p>
            <w:pPr>
              <w:jc w:val="center"/>
            </w:pPr>
            <w:r/>
            <w:r>
              <w:rPr xsi:nil="true"/>
              <w:t>29.41</w:t>
            </w:r>
          </w:p>
        </w:tc>
        <w:tc>
          <w:tcPr>
            <w:tcBorders/>
          </w:tcPr>
          <w:tcPr>
            <w:vAlign w:val="center"/>
          </w:tcPr>
          <w:p>
            <w:pPr>
              <w:jc w:val="center"/>
            </w:pPr>
            <w:r/>
            <w:r>
              <w:rPr xsi:nil="true"/>
              <w:t>3.15</w:t>
            </w:r>
          </w:p>
        </w:tc>
      </w:tr>
      <w:tr>
        <w:tc>
          <w:tcPr>
            <w:tcBorders/>
          </w:tcPr>
          <w:tcPr>
            <w:vAlign w:val="center"/>
          </w:tcPr>
          <w:p>
            <w:pPr>
              <w:jc w:val="left"/>
            </w:pPr>
            <w:r/>
            <w:r>
              <w:rPr xsi:nil="true"/>
              <w:t>Shuizhifen (Hirudo powder)</w:t>
            </w:r>
          </w:p>
        </w:tc>
        <w:tc>
          <w:tcPr>
            <w:tcBorders/>
          </w:tcPr>
          <w:tcPr>
            <w:vAlign w:val="center"/>
          </w:tcPr>
          <w:p>
            <w:pPr>
              <w:jc w:val="center"/>
            </w:pPr>
            <w:r/>
            <w:r>
              <w:rPr xsi:nil="true"/>
              <w:t>14</w:t>
            </w:r>
          </w:p>
        </w:tc>
        <w:tc>
          <w:tcPr>
            <w:tcBorders/>
          </w:tcPr>
          <w:tcPr>
            <w:vAlign w:val="center"/>
          </w:tcPr>
          <w:p>
            <w:pPr>
              <w:jc w:val="center"/>
            </w:pPr>
            <w:r/>
            <w:r>
              <w:rPr xsi:nil="true"/>
              <w:t>27.45</w:t>
            </w:r>
          </w:p>
        </w:tc>
        <w:tc>
          <w:tcPr>
            <w:tcBorders/>
          </w:tcPr>
          <w:tcPr>
            <w:vAlign w:val="center"/>
          </w:tcPr>
          <w:p>
            <w:pPr>
              <w:jc w:val="center"/>
            </w:pPr>
            <w:r/>
            <w:r>
              <w:rPr xsi:nil="true"/>
              <w:t>2.94</w:t>
            </w:r>
          </w:p>
        </w:tc>
      </w:tr>
      <w:tr>
        <w:tc>
          <w:tcPr>
            <w:tcBorders/>
          </w:tcPr>
          <w:tcPr>
            <w:vAlign w:val="center"/>
          </w:tcPr>
          <w:p>
            <w:pPr>
              <w:jc w:val="left"/>
            </w:pPr>
            <w:r/>
            <w:r>
              <w:rPr xsi:nil="true"/>
              <w:t>Ganjiang (Zingiberis Rhizoma)</w:t>
            </w:r>
          </w:p>
        </w:tc>
        <w:tc>
          <w:tcPr>
            <w:tcBorders/>
          </w:tcPr>
          <w:tcPr>
            <w:vAlign w:val="center"/>
          </w:tcPr>
          <w:p>
            <w:pPr>
              <w:jc w:val="center"/>
            </w:pPr>
            <w:r/>
            <w:r>
              <w:rPr xsi:nil="true"/>
              <w:t>13</w:t>
            </w:r>
          </w:p>
        </w:tc>
        <w:tc>
          <w:tcPr>
            <w:tcBorders/>
          </w:tcPr>
          <w:tcPr>
            <w:vAlign w:val="center"/>
          </w:tcPr>
          <w:p>
            <w:pPr>
              <w:jc w:val="center"/>
            </w:pPr>
            <w:r/>
            <w:r>
              <w:rPr xsi:nil="true"/>
              <w:t>25.49</w:t>
            </w:r>
          </w:p>
        </w:tc>
        <w:tc>
          <w:tcPr>
            <w:tcBorders/>
          </w:tcPr>
          <w:tcPr>
            <w:vAlign w:val="center"/>
          </w:tcPr>
          <w:p>
            <w:pPr>
              <w:jc w:val="center"/>
            </w:pPr>
            <w:r/>
            <w:r>
              <w:rPr xsi:nil="true"/>
              <w:t>2.73</w:t>
            </w:r>
          </w:p>
        </w:tc>
      </w:tr>
      <w:tr>
        <w:tc>
          <w:tcPr>
            <w:tcBorders/>
          </w:tcPr>
          <w:tcPr>
            <w:vAlign w:val="center"/>
          </w:tcPr>
          <w:p>
            <w:pPr>
              <w:jc w:val="left"/>
            </w:pPr>
            <w:r/>
            <w:r>
              <w:rPr xsi:nil="true"/>
              <w:t>Sanqi (Notoginseng Radix et Rhizoma)</w:t>
            </w:r>
          </w:p>
        </w:tc>
        <w:tc>
          <w:tcPr>
            <w:tcBorders/>
          </w:tcPr>
          <w:tcPr>
            <w:vAlign w:val="center"/>
          </w:tcPr>
          <w:p>
            <w:pPr>
              <w:jc w:val="center"/>
            </w:pPr>
            <w:r/>
            <w:r>
              <w:rPr xsi:nil="true"/>
              <w:t>12</w:t>
            </w:r>
          </w:p>
        </w:tc>
        <w:tc>
          <w:tcPr>
            <w:tcBorders/>
          </w:tcPr>
          <w:tcPr>
            <w:vAlign w:val="center"/>
          </w:tcPr>
          <w:p>
            <w:pPr>
              <w:jc w:val="center"/>
            </w:pPr>
            <w:r/>
            <w:r>
              <w:rPr xsi:nil="true"/>
              <w:t>23.53</w:t>
            </w:r>
          </w:p>
        </w:tc>
        <w:tc>
          <w:tcPr>
            <w:tcBorders/>
          </w:tcPr>
          <w:tcPr>
            <w:vAlign w:val="center"/>
          </w:tcPr>
          <w:p>
            <w:pPr>
              <w:jc w:val="center"/>
            </w:pPr>
            <w:r/>
            <w:r>
              <w:rPr xsi:nil="true"/>
              <w:t>2.52</w:t>
            </w:r>
          </w:p>
        </w:tc>
      </w:tr>
      <w:tr>
        <w:tc>
          <w:tcPr>
            <w:tcBorders/>
          </w:tcPr>
          <w:tcPr>
            <w:vAlign w:val="center"/>
          </w:tcPr>
          <w:p>
            <w:pPr>
              <w:jc w:val="left"/>
            </w:pPr>
            <w:r/>
            <w:r>
              <w:rPr xsi:nil="true"/>
              <w:t>Gegen (Pueraria Lobata Radix)</w:t>
            </w:r>
          </w:p>
        </w:tc>
        <w:tc>
          <w:tcPr>
            <w:tcBorders/>
          </w:tcPr>
          <w:tcPr>
            <w:vAlign w:val="center"/>
          </w:tcPr>
          <w:p>
            <w:pPr>
              <w:jc w:val="center"/>
            </w:pPr>
            <w:r/>
            <w:r>
              <w:rPr xsi:nil="true"/>
              <w:t>11</w:t>
            </w:r>
          </w:p>
        </w:tc>
        <w:tc>
          <w:tcPr>
            <w:tcBorders/>
          </w:tcPr>
          <w:tcPr>
            <w:vAlign w:val="center"/>
          </w:tcPr>
          <w:p>
            <w:pPr>
              <w:jc w:val="center"/>
            </w:pPr>
            <w:r/>
            <w:r>
              <w:rPr xsi:nil="true"/>
              <w:t>21.57</w:t>
            </w:r>
          </w:p>
        </w:tc>
        <w:tc>
          <w:tcPr>
            <w:tcBorders/>
          </w:tcPr>
          <w:tcPr>
            <w:vAlign w:val="center"/>
          </w:tcPr>
          <w:p>
            <w:pPr>
              <w:jc w:val="center"/>
            </w:pPr>
            <w:r/>
            <w:r>
              <w:rPr xsi:nil="true"/>
              <w:t>2.31</w:t>
            </w:r>
          </w:p>
        </w:tc>
      </w:tr>
      <w:tr>
        <w:tc>
          <w:tcPr>
            <w:tcBorders/>
          </w:tcPr>
          <w:tcPr>
            <w:vAlign w:val="center"/>
          </w:tcPr>
          <w:p>
            <w:pPr>
              <w:jc w:val="left"/>
            </w:pPr>
            <w:r/>
            <w:r>
              <w:rPr xsi:nil="true"/>
              <w:t>Weilingxian (Clematidis Radix et Rhizoma)</w:t>
            </w:r>
          </w:p>
        </w:tc>
        <w:tc>
          <w:tcPr>
            <w:tcBorders/>
          </w:tcPr>
          <w:tcPr>
            <w:vAlign w:val="center"/>
          </w:tcPr>
          <w:p>
            <w:pPr>
              <w:jc w:val="center"/>
            </w:pPr>
            <w:r/>
            <w:r>
              <w:rPr xsi:nil="true"/>
              <w:t>11</w:t>
            </w:r>
          </w:p>
        </w:tc>
        <w:tc>
          <w:tcPr>
            <w:tcBorders/>
          </w:tcPr>
          <w:tcPr>
            <w:vAlign w:val="center"/>
          </w:tcPr>
          <w:p>
            <w:pPr>
              <w:jc w:val="center"/>
            </w:pPr>
            <w:r/>
            <w:r>
              <w:rPr xsi:nil="true"/>
              <w:t>21.57</w:t>
            </w:r>
          </w:p>
        </w:tc>
        <w:tc>
          <w:tcPr>
            <w:tcBorders/>
          </w:tcPr>
          <w:tcPr>
            <w:vAlign w:val="center"/>
          </w:tcPr>
          <w:p>
            <w:pPr>
              <w:jc w:val="center"/>
            </w:pPr>
            <w:r/>
            <w:r>
              <w:rPr xsi:nil="true"/>
              <w:t>2.31</w:t>
            </w:r>
          </w:p>
        </w:tc>
      </w:tr>
      <w:tr>
        <w:tc>
          <w:tcPr>
            <w:tcBorders/>
          </w:tcPr>
          <w:tcPr>
            <w:vAlign w:val="center"/>
          </w:tcPr>
          <w:p>
            <w:pPr>
              <w:jc w:val="left"/>
            </w:pPr>
            <w:r/>
            <w:r>
              <w:rPr xsi:nil="true"/>
              <w:t>Zhichuanwu (Aconiti Radix Cocta)</w:t>
            </w:r>
          </w:p>
        </w:tc>
        <w:tc>
          <w:tcPr>
            <w:tcBorders/>
          </w:tcPr>
          <w:tcPr>
            <w:vAlign w:val="center"/>
          </w:tcPr>
          <w:p>
            <w:pPr>
              <w:jc w:val="center"/>
            </w:pPr>
            <w:r/>
            <w:r>
              <w:rPr xsi:nil="true"/>
              <w:t>10</w:t>
            </w:r>
          </w:p>
        </w:tc>
        <w:tc>
          <w:tcPr>
            <w:tcBorders/>
          </w:tcPr>
          <w:tcPr>
            <w:vAlign w:val="center"/>
          </w:tcPr>
          <w:p>
            <w:pPr>
              <w:jc w:val="center"/>
            </w:pPr>
            <w:r/>
            <w:r>
              <w:rPr xsi:nil="true"/>
              <w:t>19.61</w:t>
            </w:r>
          </w:p>
        </w:tc>
        <w:tc>
          <w:tcPr>
            <w:tcBorders/>
          </w:tcPr>
          <w:tcPr>
            <w:vAlign w:val="center"/>
          </w:tcPr>
          <w:p>
            <w:pPr>
              <w:jc w:val="center"/>
            </w:pPr>
            <w:r/>
            <w:r>
              <w:rPr xsi:nil="true"/>
              <w:t>2.10</w:t>
            </w:r>
          </w:p>
        </w:tc>
      </w:tr>
      <w:tr>
        <w:tc>
          <w:tcPr>
            <w:tcBorders>
              <w:bottom w:val="basicThinLines"/>
            </w:tcBorders>
          </w:tcPr>
          <w:tcPr>
            <w:vAlign w:val="center"/>
          </w:tcPr>
          <w:p>
            <w:pPr>
              <w:jc w:val="left"/>
            </w:pPr>
            <w:r/>
            <w:r>
              <w:rPr xsi:nil="true"/>
              <w:t>Baishao (Paeoniae Radix Alba)</w:t>
            </w:r>
          </w:p>
        </w:tc>
        <w:tc>
          <w:tcPr>
            <w:tcBorders>
              <w:bottom w:val="basicThinLines"/>
            </w:tcBorders>
          </w:tcPr>
          <w:tcPr>
            <w:vAlign w:val="center"/>
          </w:tcPr>
          <w:p>
            <w:pPr>
              <w:jc w:val="center"/>
            </w:pPr>
            <w:r/>
            <w:r>
              <w:rPr xsi:nil="true"/>
              <w:t>10</w:t>
            </w:r>
          </w:p>
        </w:tc>
        <w:tc>
          <w:tcPr>
            <w:tcBorders>
              <w:bottom w:val="basicThinLines"/>
            </w:tcBorders>
          </w:tcPr>
          <w:tcPr>
            <w:vAlign w:val="center"/>
          </w:tcPr>
          <w:p>
            <w:pPr>
              <w:jc w:val="center"/>
            </w:pPr>
            <w:r/>
            <w:r>
              <w:rPr xsi:nil="true"/>
              <w:t>19.61</w:t>
            </w:r>
          </w:p>
        </w:tc>
        <w:tc>
          <w:tcPr>
            <w:tcBorders>
              <w:bottom w:val="basicThinLines"/>
            </w:tcBorders>
          </w:tcPr>
          <w:tcPr>
            <w:vAlign w:val="center"/>
          </w:tcPr>
          <w:p>
            <w:pPr>
              <w:jc w:val="center"/>
            </w:pPr>
            <w:r/>
            <w:r>
              <w:rPr xsi:nil="true"/>
              <w:t>2.10</w:t>
            </w:r>
          </w:p>
        </w:tc>
      </w:tr>
      <w:tr>
        <w:tc>
          <w:tcPr>
            <w:hMerge w:val="restart"/>
          </w:tcPr>
          <w:tcPr>
            <w:tcBorders/>
          </w:tcPr>
          <w:tcPr>
            <w:vAlign w:val="center"/>
          </w:tcPr>
          <w:p>
            <w:pPr>
              <w:jc w:val="left"/>
            </w:pPr>
            <w:r/>
            <w:r>
              <w:rPr xsi:nil="true"/>
              <w:t>Relative frequency 1 = frequency of drugs/number of all medical records; Relative frequency 2 = frequency of drugs/number of all medical records.</w:t>
            </w:r>
          </w:p>
        </w:tc>
        <w:tc>
          <w:tcPr>
            <w:hMerge w:val="continue"/>
          </w:tcPr>
          <w:p/>
        </w:tc>
        <w:tc>
          <w:tcPr>
            <w:hMerge w:val="continue"/>
          </w:tcPr>
          <w:p/>
        </w:tc>
        <w:tc>
          <w:tcPr>
            <w:hMerge w:val="continue"/>
          </w:tcPr>
          <w:p/>
        </w:tc>
      </w:tr>
      <w:tr>
        <w:tc>
          <w:p/>
        </w:tc>
        <w:tc>
          <w:p/>
        </w:tc>
        <w:tc>
          <w:p/>
        </w:tc>
        <w:tc>
          <w:p/>
        </w:tc>
      </w:tr>
    </w:tbl>
    <w:p>
      <w:pPr>
        <w:ind w:firstLine="420"/>
        <w:rPr>
          <w:rFonts w:ascii="Times New Roman" w:hAnsi="宋体"/>
          <w:sz w:val="24"/>
          <w:szCs w:val="24"/>
        </w:rPr>
      </w:pPr>
    </w:p>
    <w:p>
      <w:pPr>
        <w:spacing w:before="156" w:beforeLines="50" w:line="360" w:lineRule="auto"/>
        <w:jc w:val="left"/>
        <w:rPr>
          <w:rFonts w:ascii="Times New Roman" w:hAnsi="宋体"/>
          <w:sz w:val="24"/>
          <w:szCs w:val="24"/>
        </w:rPr>
      </w:pPr>
      <w:r>
        <w:rPr>
          <w:rFonts w:ascii="Times New Roman" w:hAnsi="宋体" w:hint="eastAsia"/>
          <w:b/>
          <w:sz w:val="26"/>
          <w:szCs w:val="32"/>
        </w:rPr>
        <w:t>3.2  Drug-drug association rule mining</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The drug-drug association rules were investigated under the criteria of support ≥ 15% and confidence = 100%, which found seven second-order association rules (</w:t>
      </w:r>
      <w:r>
        <w:rPr>
          <w:rFonts w:ascii="Times New Roman" w:hAnsi="宋体" w:hint="eastAsia"/>
          <w:sz w:val="24"/>
          <w:szCs w:val="24"/>
        </w:rPr>
        <w:t>Table 5</w:t>
      </w:r>
      <w:r>
        <w:rPr>
          <w:rFonts w:ascii="Times New Roman" w:hAnsi="宋体" w:hint="eastAsia"/>
          <w:sz w:val="24"/>
          <w:szCs w:val="24"/>
        </w:rPr>
        <w:t>), seven third-order rules (</w:t>
      </w:r>
      <w:r>
        <w:rPr>
          <w:rFonts w:ascii="Times New Roman" w:hAnsi="宋体" w:hint="eastAsia"/>
          <w:sz w:val="24"/>
          <w:szCs w:val="24"/>
        </w:rPr>
        <w:t>Table 6</w:t>
      </w:r>
      <w:r>
        <w:rPr>
          <w:rFonts w:ascii="Times New Roman" w:hAnsi="宋体" w:hint="eastAsia"/>
          <w:sz w:val="24"/>
          <w:szCs w:val="24"/>
        </w:rPr>
        <w:t>), and six fourth-order roles (</w:t>
      </w:r>
      <w:r>
        <w:rPr>
          <w:rFonts w:ascii="Times New Roman" w:hAnsi="宋体" w:hint="eastAsia"/>
          <w:sz w:val="24"/>
          <w:szCs w:val="24"/>
        </w:rPr>
        <w:t>Table 7</w:t>
      </w:r>
      <w:r>
        <w:rPr>
          <w:rFonts w:ascii="Times New Roman" w:hAnsi="宋体" w:hint="eastAsia"/>
          <w:sz w:val="24"/>
          <w:szCs w:val="24"/>
        </w:rPr>
        <w:t>).</w:t>
      </w:r>
    </w:p>
    <w:p>
      <w:pPr>
        <w:ind w:firstLine="480" w:firstLineChars="200"/>
        <w:rPr>
          <w:rFonts w:ascii="Times New Roman" w:hAnsi="宋体"/>
          <w:sz w:val="24"/>
          <w:szCs w:val="24"/>
        </w:rPr>
      </w:pPr>
    </w:p>
    <w:p>
      <w:pPr>
        <w:spacing w:after="156" w:afterLines="50" w:line="360" w:lineRule="auto"/>
        <w:ind w:firstLine="482" w:firstLineChars="200"/>
        <w:jc w:val="center"/>
        <w:rPr>
          <w:rFonts w:ascii="Times New Roman" w:hAnsi="宋体"/>
          <w:sz w:val="24"/>
          <w:szCs w:val="24"/>
        </w:rPr>
      </w:pPr>
      <w:r>
        <w:rPr>
          <w:rFonts w:ascii="Times New Roman" w:hAnsi="宋体" w:hint="eastAsia"/>
          <w:b/>
          <w:bCs/>
          <w:sz w:val="24"/>
          <w:szCs w:val="24"/>
        </w:rPr>
        <w:t xml:space="preserve">Table 5 </w:t>
      </w:r>
      <w:r>
        <w:rPr>
          <w:rFonts w:ascii="Times New Roman" w:hAnsi="宋体" w:hint="eastAsia"/>
          <w:sz w:val="24"/>
          <w:szCs w:val="24"/>
        </w:rPr>
        <w:t xml:space="preserve"> Drug-drug second-order associations</w:t>
      </w:r>
    </w:p>
    <w:tbl>
      <w:tblPr>
        <w:tblStyleColBandSize w:val="30"/>
        <w:tblW w:w="8300" w:type="dxa"/>
        <w:jc w:val="center"/>
        <w:tblBorders>
          <w:top w:val="single"/>
          <w:left w:val="single"/>
          <w:bottom w:val="single"/>
          <w:right w:val="single"/>
          <w:insideH w:val="none" w:sz="0" w:space="0" w:color=""/>
          <w:insideV w:val="none" w:sz="0" w:space="0" w:color=""/>
        </w:tblBorders>
        <w:tblBorders>
          <w:top xsi:nil="true"/>
          <w:left xsi:nil="true"/>
          <w:bottom xsi:nil="true"/>
          <w:right xsi:nil="true"/>
        </w:tblBorders>
        <w:tblCellMar>
          <w:top w:type="dxa" w:w="0"/>
          <w:left w:type="dxa" w:w="30"/>
          <w:bottom w:type="dxa" w:w="0"/>
          <w:right w:type="dxa" w:w="30"/>
        </w:tblCellMar>
      </w:tblPr>
      <w:tr>
        <w:tc>
          <w:tcPr>
            <w:tcBorders>
              <w:top w:val="basicThinLines"/>
            </w:tcBorders>
          </w:tcPr>
          <w:tcPr>
            <w:vAlign w:val="center"/>
          </w:tcPr>
          <w:p>
            <w:pPr>
              <w:jc w:val="center"/>
            </w:pPr>
            <w:r/>
            <w:r>
              <w:rPr xsi:nil="true">
                <w:b w:val="true"/>
              </w:rPr>
              <w:t>Antecedent</w:t>
            </w:r>
          </w:p>
        </w:tc>
        <w:tc>
          <w:tcPr>
            <w:tcBorders>
              <w:top w:val="basicThinLines"/>
            </w:tcBorders>
          </w:tcPr>
          <w:tcPr>
            <w:vAlign w:val="center"/>
          </w:tcPr>
          <w:p>
            <w:pPr>
              <w:jc w:val="center"/>
            </w:pPr>
            <w:r/>
            <w:r>
              <w:rPr xsi:nil="true">
                <w:b w:val="true"/>
              </w:rPr>
              <w:t>Succedent</w:t>
            </w:r>
          </w:p>
        </w:tc>
        <w:tc>
          <w:tcPr>
            <w:tcBorders>
              <w:top w:val="basicThinLines"/>
            </w:tcBorders>
          </w:tcPr>
          <w:tcPr>
            <w:vAlign w:val="center"/>
          </w:tcPr>
          <w:p>
            <w:pPr>
              <w:jc w:val="center"/>
            </w:pPr>
            <w:r/>
            <w:r>
              <w:rPr xsi:nil="true">
                <w:b w:val="true"/>
              </w:rPr>
              <w:t>Support (%)</w:t>
            </w:r>
          </w:p>
        </w:tc>
        <w:tc>
          <w:tcPr>
            <w:tcBorders>
              <w:top w:val="basicThinLines"/>
            </w:tcBorders>
          </w:tcPr>
          <w:tcPr>
            <w:vAlign w:val="center"/>
          </w:tcPr>
          <w:p>
            <w:pPr>
              <w:jc w:val="center"/>
            </w:pPr>
            <w:r/>
            <w:r>
              <w:rPr xsi:nil="true">
                <w:b w:val="true"/>
              </w:rPr>
              <w:t>Confidence (%)</w:t>
            </w:r>
          </w:p>
        </w:tc>
        <w:tc>
          <w:tcPr>
            <w:tcBorders>
              <w:top w:val="basicThinLines"/>
            </w:tcBorders>
          </w:tcPr>
          <w:tcPr>
            <w:vAlign w:val="center"/>
          </w:tcPr>
          <w:p>
            <w:pPr>
              <w:jc w:val="center"/>
            </w:pPr>
            <w:r/>
            <w:r>
              <w:rPr xsi:nil="true">
                <w:b w:val="true"/>
              </w:rPr>
              <w:t>Lift</w:t>
            </w:r>
          </w:p>
        </w:tc>
      </w:tr>
      <w:tr>
        <w:tc>
          <w:tcPr>
            <w:tcBorders>
              <w:top w:val="basicThinLines"/>
            </w:tcBorders>
          </w:tcPr>
          <w:tcPr>
            <w:vAlign w:val="center"/>
          </w:tcPr>
          <w:p>
            <w:pPr>
              <w:jc w:val="left"/>
            </w:pPr>
            <w:r/>
            <w:r>
              <w:rPr xsi:nil="true"/>
              <w:t>Huangqin (Scutellariae Radix)</w:t>
            </w:r>
          </w:p>
        </w:tc>
        <w:tc>
          <w:tcPr>
            <w:tcBorders>
              <w:top w:val="basicThinLines"/>
            </w:tcBorders>
          </w:tcPr>
          <w:tcPr>
            <w:vAlign w:val="center"/>
          </w:tcPr>
          <w:p>
            <w:pPr>
              <w:jc w:val="left"/>
            </w:pPr>
            <w:r/>
            <w:r>
              <w:rPr xsi:nil="true"/>
              <w:t>Huanglian (Coptidis Rhizoma)</w:t>
            </w:r>
          </w:p>
        </w:tc>
        <w:tc>
          <w:tcPr>
            <w:tcBorders>
              <w:top w:val="basicThinLines"/>
            </w:tcBorders>
          </w:tcPr>
          <w:tcPr>
            <w:vAlign w:val="center"/>
          </w:tcPr>
          <w:p>
            <w:pPr>
              <w:jc w:val="center"/>
            </w:pPr>
            <w:r/>
            <w:r>
              <w:rPr xsi:nil="true"/>
              <w:t>29.41</w:t>
            </w:r>
          </w:p>
        </w:tc>
        <w:tc>
          <w:tcPr>
            <w:tcBorders>
              <w:top w:val="basicThinLines"/>
            </w:tcBorders>
          </w:tcPr>
          <w:tcPr>
            <w:vAlign w:val="center"/>
          </w:tcPr>
          <w:p>
            <w:pPr>
              <w:jc w:val="center"/>
            </w:pPr>
            <w:r/>
            <w:r>
              <w:rPr xsi:nil="true"/>
              <w:t>100.00</w:t>
            </w:r>
          </w:p>
        </w:tc>
        <w:tc>
          <w:tcPr>
            <w:tcBorders>
              <w:top w:val="basicThinLines"/>
            </w:tcBorders>
          </w:tcPr>
          <w:tcPr>
            <w:vAlign w:val="center"/>
          </w:tcPr>
          <w:p>
            <w:pPr>
              <w:jc w:val="center"/>
            </w:pPr>
            <w:r/>
            <w:r>
              <w:rPr xsi:nil="true"/>
              <w:t>1.70</w:t>
            </w:r>
          </w:p>
        </w:tc>
      </w:tr>
      <w:tr>
        <w:tc>
          <w:tcPr>
            <w:tcBorders/>
          </w:tcPr>
          <w:tcPr>
            <w:vAlign w:val="center"/>
          </w:tcPr>
          <w:p>
            <w:pPr>
              <w:jc w:val="left"/>
            </w:pPr>
            <w:r/>
            <w:r>
              <w:rPr xsi:nil="true"/>
              <w:t>Ganjiang (Zingiberis Rhizoma)</w:t>
            </w:r>
          </w:p>
        </w:tc>
        <w:tc>
          <w:tcPr>
            <w:tcBorders/>
          </w:tcPr>
          <w:tcPr>
            <w:vAlign w:val="center"/>
          </w:tcPr>
          <w:p>
            <w:pPr>
              <w:jc w:val="left"/>
            </w:pPr>
            <w:r/>
            <w:r>
              <w:rPr xsi:nil="true"/>
              <w:t>Huanglian (Coptidis Rhizoma)</w:t>
            </w:r>
          </w:p>
        </w:tc>
        <w:tc>
          <w:tcPr>
            <w:tcBorders/>
          </w:tcPr>
          <w:tcPr>
            <w:vAlign w:val="center"/>
          </w:tcPr>
          <w:p>
            <w:pPr>
              <w:jc w:val="center"/>
            </w:pPr>
            <w:r/>
            <w:r>
              <w:rPr xsi:nil="true"/>
              <w:t>25.49</w:t>
            </w:r>
          </w:p>
        </w:tc>
        <w:tc>
          <w:tcPr>
            <w:tcBorders/>
          </w:tcPr>
          <w:tcPr>
            <w:vAlign w:val="center"/>
          </w:tcPr>
          <w:p>
            <w:pPr>
              <w:jc w:val="center"/>
            </w:pPr>
            <w:r/>
            <w:r>
              <w:rPr xsi:nil="true"/>
              <w:t>100.00</w:t>
            </w:r>
          </w:p>
        </w:tc>
        <w:tc>
          <w:tcPr>
            <w:tcBorders/>
          </w:tcPr>
          <w:tcPr>
            <w:vAlign w:val="center"/>
          </w:tcPr>
          <w:p>
            <w:pPr>
              <w:jc w:val="center"/>
            </w:pPr>
            <w:r/>
            <w:r>
              <w:rPr xsi:nil="true"/>
              <w:t>1.70</w:t>
            </w:r>
          </w:p>
        </w:tc>
      </w:tr>
      <w:tr>
        <w:tc>
          <w:tcPr>
            <w:tcBorders/>
          </w:tcPr>
          <w:tcPr>
            <w:vAlign w:val="center"/>
          </w:tcPr>
          <w:p>
            <w:pPr>
              <w:jc w:val="left"/>
            </w:pPr>
            <w:r/>
            <w:r>
              <w:rPr xsi:nil="true"/>
              <w:t>Ganjiang (Zingiberis Rhizoma)</w:t>
            </w:r>
          </w:p>
        </w:tc>
        <w:tc>
          <w:tcPr>
            <w:tcBorders/>
          </w:tcPr>
          <w:tcPr>
            <w:vAlign w:val="center"/>
          </w:tcPr>
          <w:p>
            <w:pPr>
              <w:jc w:val="left"/>
            </w:pPr>
            <w:r/>
            <w:r>
              <w:rPr xsi:nil="true"/>
              <w:t>Huangqin (Scutellariae Radix)</w:t>
            </w:r>
          </w:p>
        </w:tc>
        <w:tc>
          <w:tcPr>
            <w:tcBorders/>
          </w:tcPr>
          <w:tcPr>
            <w:vAlign w:val="center"/>
          </w:tcPr>
          <w:p>
            <w:pPr>
              <w:jc w:val="center"/>
            </w:pPr>
            <w:r/>
            <w:r>
              <w:rPr xsi:nil="true"/>
              <w:t>25.49</w:t>
            </w:r>
          </w:p>
        </w:tc>
        <w:tc>
          <w:tcPr>
            <w:tcBorders/>
          </w:tcPr>
          <w:tcPr>
            <w:vAlign w:val="center"/>
          </w:tcPr>
          <w:p>
            <w:pPr>
              <w:jc w:val="center"/>
            </w:pPr>
            <w:r/>
            <w:r>
              <w:rPr xsi:nil="true"/>
              <w:t>100.00</w:t>
            </w:r>
          </w:p>
        </w:tc>
        <w:tc>
          <w:tcPr>
            <w:tcBorders/>
          </w:tcPr>
          <w:tcPr>
            <w:vAlign w:val="center"/>
          </w:tcPr>
          <w:p>
            <w:pPr>
              <w:jc w:val="center"/>
            </w:pPr>
            <w:r/>
            <w:r>
              <w:rPr xsi:nil="true"/>
              <w:t>3.40</w:t>
            </w:r>
          </w:p>
        </w:tc>
      </w:tr>
      <w:tr>
        <w:tc>
          <w:tcPr>
            <w:tcBorders/>
          </w:tcPr>
          <w:tcPr>
            <w:vAlign w:val="center"/>
          </w:tcPr>
          <w:p>
            <w:pPr>
              <w:jc w:val="left"/>
            </w:pPr>
            <w:r/>
            <w:r>
              <w:rPr xsi:nil="true"/>
              <w:t>Baishao (Paeoniae Radix Alba)</w:t>
            </w:r>
          </w:p>
        </w:tc>
        <w:tc>
          <w:tcPr>
            <w:tcBorders/>
          </w:tcPr>
          <w:tcPr>
            <w:vAlign w:val="center"/>
          </w:tcPr>
          <w:p>
            <w:pPr>
              <w:jc w:val="left"/>
            </w:pPr>
            <w:r/>
            <w:r>
              <w:rPr xsi:nil="true"/>
              <w:t>Shengjiang (Zingiberis Rhizoma Recens)</w:t>
            </w:r>
          </w:p>
        </w:tc>
        <w:tc>
          <w:tcPr>
            <w:tcBorders/>
          </w:tcPr>
          <w:tcPr>
            <w:vAlign w:val="center"/>
          </w:tcPr>
          <w:p>
            <w:pPr>
              <w:jc w:val="center"/>
            </w:pPr>
            <w:r/>
            <w:r>
              <w:rPr xsi:nil="true"/>
              <w:t>19.61</w:t>
            </w:r>
          </w:p>
        </w:tc>
        <w:tc>
          <w:tcPr>
            <w:tcBorders/>
          </w:tcPr>
          <w:tcPr>
            <w:vAlign w:val="center"/>
          </w:tcPr>
          <w:p>
            <w:pPr>
              <w:jc w:val="center"/>
            </w:pPr>
            <w:r/>
            <w:r>
              <w:rPr xsi:nil="true"/>
              <w:t>100.00</w:t>
            </w:r>
          </w:p>
        </w:tc>
        <w:tc>
          <w:tcPr>
            <w:tcBorders/>
          </w:tcPr>
          <w:tcPr>
            <w:vAlign w:val="center"/>
          </w:tcPr>
          <w:p>
            <w:pPr>
              <w:jc w:val="center"/>
            </w:pPr>
            <w:r/>
            <w:r>
              <w:rPr xsi:nil="true"/>
              <w:t>2.83</w:t>
            </w:r>
          </w:p>
        </w:tc>
      </w:tr>
      <w:tr>
        <w:tc>
          <w:tcPr>
            <w:tcBorders/>
          </w:tcPr>
          <w:tcPr>
            <w:vAlign w:val="center"/>
          </w:tcPr>
          <w:p>
            <w:pPr>
              <w:jc w:val="left"/>
            </w:pPr>
            <w:r/>
            <w:r>
              <w:rPr xsi:nil="true"/>
              <w:t>Yunfuling (</w:t>
            </w:r>
            <w:r>
              <w:rPr xsi:nil="true">
                <w:i w:val="true"/>
              </w:rPr>
              <w:t>Wolfiporia extensa</w:t>
            </w:r>
            <w:r>
              <w:rPr xsi:nil="true"/>
              <w:t>)</w:t>
            </w:r>
          </w:p>
        </w:tc>
        <w:tc>
          <w:tcPr>
            <w:tcBorders/>
          </w:tcPr>
          <w:tcPr>
            <w:vAlign w:val="center"/>
          </w:tcPr>
          <w:p>
            <w:pPr>
              <w:jc w:val="left"/>
            </w:pPr>
            <w:r/>
            <w:r>
              <w:rPr xsi:nil="true"/>
              <w:t>Jiudahuang (Wine-processed Rhei Radix et Rhizoma)</w:t>
            </w:r>
          </w:p>
        </w:tc>
        <w:tc>
          <w:tcPr>
            <w:tcBorders/>
          </w:tcPr>
          <w:tcPr>
            <w:vAlign w:val="center"/>
          </w:tcPr>
          <w:p>
            <w:pPr>
              <w:jc w:val="center"/>
            </w:pPr>
            <w:r/>
            <w:r>
              <w:rPr xsi:nil="true"/>
              <w:t>15.69</w:t>
            </w:r>
          </w:p>
        </w:tc>
        <w:tc>
          <w:tcPr>
            <w:tcBorders/>
          </w:tcPr>
          <w:tcPr>
            <w:vAlign w:val="center"/>
          </w:tcPr>
          <w:p>
            <w:pPr>
              <w:jc w:val="center"/>
            </w:pPr>
            <w:r/>
            <w:r>
              <w:rPr xsi:nil="true"/>
              <w:t>100.00</w:t>
            </w:r>
          </w:p>
        </w:tc>
        <w:tc>
          <w:tcPr>
            <w:tcBorders/>
          </w:tcPr>
          <w:tcPr>
            <w:vAlign w:val="center"/>
          </w:tcPr>
          <w:p>
            <w:pPr>
              <w:jc w:val="center"/>
            </w:pPr>
            <w:r/>
            <w:r>
              <w:rPr xsi:nil="true"/>
              <w:t>2.13</w:t>
            </w:r>
          </w:p>
        </w:tc>
      </w:tr>
      <w:tr>
        <w:tc>
          <w:tcPr>
            <w:tcBorders/>
          </w:tcPr>
          <w:tcPr>
            <w:vAlign w:val="center"/>
          </w:tcPr>
          <w:p>
            <w:pPr>
              <w:jc w:val="left"/>
            </w:pPr>
            <w:r/>
            <w:r>
              <w:rPr xsi:nil="true"/>
              <w:t>Heye (Nelumbinis Folium)</w:t>
            </w:r>
          </w:p>
        </w:tc>
        <w:tc>
          <w:tcPr>
            <w:tcBorders/>
          </w:tcPr>
          <w:tcPr>
            <w:vAlign w:val="center"/>
          </w:tcPr>
          <w:p>
            <w:pPr>
              <w:jc w:val="left"/>
            </w:pPr>
            <w:r/>
            <w:r>
              <w:rPr xsi:nil="true"/>
              <w:t>Sanqi (Notoginseng Radix et Rhizoma)</w:t>
            </w:r>
          </w:p>
        </w:tc>
        <w:tc>
          <w:tcPr>
            <w:tcBorders/>
          </w:tcPr>
          <w:tcPr>
            <w:vAlign w:val="center"/>
          </w:tcPr>
          <w:p>
            <w:pPr>
              <w:jc w:val="center"/>
            </w:pPr>
            <w:r/>
            <w:r>
              <w:rPr xsi:nil="true"/>
              <w:t>15.69</w:t>
            </w:r>
          </w:p>
        </w:tc>
        <w:tc>
          <w:tcPr>
            <w:tcBorders/>
          </w:tcPr>
          <w:tcPr>
            <w:vAlign w:val="center"/>
          </w:tcPr>
          <w:p>
            <w:pPr>
              <w:jc w:val="center"/>
            </w:pPr>
            <w:r/>
            <w:r>
              <w:rPr xsi:nil="true"/>
              <w:t>100.00</w:t>
            </w:r>
          </w:p>
        </w:tc>
        <w:tc>
          <w:tcPr>
            <w:tcBorders/>
          </w:tcPr>
          <w:tcPr>
            <w:vAlign w:val="center"/>
          </w:tcPr>
          <w:p>
            <w:pPr>
              <w:jc w:val="center"/>
            </w:pPr>
            <w:r/>
            <w:r>
              <w:rPr xsi:nil="true"/>
              <w:t>4.25</w:t>
            </w:r>
          </w:p>
        </w:tc>
      </w:tr>
      <w:tr>
        <w:tc>
          <w:tcPr>
            <w:tcBorders>
              <w:bottom w:val="basicThinLines"/>
            </w:tcBorders>
          </w:tcPr>
          <w:tcPr>
            <w:vAlign w:val="top"/>
          </w:tcPr>
          <w:p>
            <w:pPr>
              <w:jc w:val="left"/>
            </w:pPr>
            <w:r/>
            <w:r>
              <w:rPr xsi:nil="true"/>
              <w:t>Gualouren (Trichosanthis Semen)</w:t>
            </w:r>
          </w:p>
        </w:tc>
        <w:tc>
          <w:tcPr>
            <w:tcBorders>
              <w:bottom w:val="basicThinLines"/>
            </w:tcBorders>
          </w:tcPr>
          <w:tcPr>
            <w:vAlign w:val="center"/>
          </w:tcPr>
          <w:p>
            <w:pPr>
              <w:jc w:val="left"/>
            </w:pPr>
            <w:r/>
            <w:r>
              <w:rPr xsi:nil="true"/>
              <w:t>Qingbanxia (Pinelliae Rhizoma Praeparatum Cum Alumine)</w:t>
            </w:r>
          </w:p>
        </w:tc>
        <w:tc>
          <w:tcPr>
            <w:tcBorders>
              <w:bottom w:val="basicThinLines"/>
            </w:tcBorders>
          </w:tcPr>
          <w:tcPr>
            <w:vAlign w:val="top"/>
          </w:tcPr>
          <w:p>
            <w:pPr>
              <w:jc w:val="center"/>
            </w:pPr>
            <w:r/>
            <w:r>
              <w:rPr xsi:nil="true"/>
              <w:t>15.69</w:t>
            </w:r>
          </w:p>
        </w:tc>
        <w:tc>
          <w:tcPr>
            <w:tcBorders>
              <w:bottom w:val="basicThinLines"/>
            </w:tcBorders>
          </w:tcPr>
          <w:tcPr>
            <w:vAlign w:val="top"/>
          </w:tcPr>
          <w:p>
            <w:pPr>
              <w:jc w:val="center"/>
            </w:pPr>
            <w:r/>
            <w:r>
              <w:rPr xsi:nil="true"/>
              <w:t>100.00</w:t>
            </w:r>
          </w:p>
        </w:tc>
        <w:tc>
          <w:tcPr>
            <w:tcBorders>
              <w:bottom w:val="basicThinLines"/>
            </w:tcBorders>
          </w:tcPr>
          <w:tcPr>
            <w:vAlign w:val="top"/>
          </w:tcPr>
          <w:p>
            <w:pPr>
              <w:jc w:val="center"/>
            </w:pPr>
            <w:r/>
            <w:r>
              <w:rPr xsi:nil="true"/>
              <w:t>5.67</w:t>
            </w:r>
          </w:p>
        </w:tc>
      </w:tr>
    </w:tbl>
    <w:p>
      <w:pPr>
        <w:ind w:firstLine="420"/>
        <w:rPr>
          <w:rFonts w:ascii="Times New Roman" w:hAnsi="宋体"/>
          <w:sz w:val="24"/>
          <w:szCs w:val="24"/>
        </w:rPr>
      </w:pPr>
    </w:p>
    <w:p>
      <w:pPr>
        <w:ind w:firstLine="480" w:firstLineChars="200"/>
        <w:rPr>
          <w:rFonts w:ascii="Times New Roman" w:hAnsi="宋体"/>
          <w:sz w:val="24"/>
          <w:szCs w:val="24"/>
        </w:rPr>
      </w:pPr>
    </w:p>
    <w:p>
      <w:pPr>
        <w:spacing w:after="156" w:afterLines="50" w:line="360" w:lineRule="auto"/>
        <w:ind w:firstLine="482" w:firstLineChars="200"/>
        <w:jc w:val="center"/>
        <w:rPr>
          <w:rFonts w:ascii="Times New Roman" w:hAnsi="宋体"/>
          <w:sz w:val="24"/>
          <w:szCs w:val="24"/>
        </w:rPr>
      </w:pPr>
      <w:r>
        <w:rPr>
          <w:rFonts w:ascii="Times New Roman" w:hAnsi="宋体" w:hint="eastAsia"/>
          <w:b/>
          <w:bCs/>
          <w:sz w:val="24"/>
          <w:szCs w:val="24"/>
        </w:rPr>
        <w:t xml:space="preserve">Table 6 </w:t>
      </w:r>
      <w:r>
        <w:rPr>
          <w:rFonts w:ascii="Times New Roman" w:hAnsi="宋体" w:hint="eastAsia"/>
          <w:sz w:val="24"/>
          <w:szCs w:val="24"/>
        </w:rPr>
        <w:t xml:space="preserve"> Drug-drug third-order associations</w:t>
      </w:r>
    </w:p>
    <w:tbl>
      <w:tblPr>
        <w:tblStyleColBandSize w:val="30"/>
        <w:tblW w:w="8300" w:type="dxa"/>
        <w:jc w:val="center"/>
        <w:tblBorders>
          <w:top w:val="single"/>
          <w:left w:val="single"/>
          <w:bottom w:val="single"/>
          <w:right w:val="single"/>
          <w:insideH w:val="none" w:sz="0" w:space="0" w:color=""/>
          <w:insideV w:val="none" w:sz="0" w:space="0" w:color=""/>
        </w:tblBorders>
        <w:tblBorders>
          <w:top xsi:nil="true"/>
          <w:left xsi:nil="true"/>
          <w:bottom xsi:nil="true"/>
          <w:right xsi:nil="true"/>
        </w:tblBorders>
        <w:tblCellMar>
          <w:top w:type="dxa" w:w="0"/>
          <w:left w:type="dxa" w:w="30"/>
          <w:bottom w:type="dxa" w:w="0"/>
          <w:right w:type="dxa" w:w="30"/>
        </w:tblCellMar>
      </w:tblPr>
      <w:tr>
        <w:tc>
          <w:tcPr>
            <w:tcBorders>
              <w:top w:val="basicThinLines"/>
            </w:tcBorders>
          </w:tcPr>
          <w:tcPr>
            <w:vAlign w:val="center"/>
          </w:tcPr>
          <w:p>
            <w:pPr>
              <w:jc w:val="center"/>
            </w:pPr>
            <w:r/>
            <w:r>
              <w:rPr xsi:nil="true">
                <w:b w:val="true"/>
              </w:rPr>
              <w:t>Antecedent</w:t>
            </w:r>
          </w:p>
        </w:tc>
        <w:tc>
          <w:tcPr>
            <w:tcBorders>
              <w:top w:val="basicThinLines"/>
            </w:tcBorders>
          </w:tcPr>
          <w:tcPr>
            <w:vAlign w:val="center"/>
          </w:tcPr>
          <w:p>
            <w:pPr>
              <w:jc w:val="center"/>
            </w:pPr>
            <w:r/>
            <w:r>
              <w:rPr xsi:nil="true">
                <w:b w:val="true"/>
              </w:rPr>
              <w:t>Succedent</w:t>
            </w:r>
          </w:p>
        </w:tc>
        <w:tc>
          <w:tcPr>
            <w:tcBorders>
              <w:top w:val="basicThinLines"/>
            </w:tcBorders>
          </w:tcPr>
          <w:tcPr>
            <w:vAlign w:val="center"/>
          </w:tcPr>
          <w:p>
            <w:pPr>
              <w:jc w:val="center"/>
            </w:pPr>
            <w:r/>
            <w:r>
              <w:rPr xsi:nil="true">
                <w:b w:val="true"/>
              </w:rPr>
              <w:t>Support (%)</w:t>
            </w:r>
          </w:p>
        </w:tc>
        <w:tc>
          <w:tcPr>
            <w:tcBorders>
              <w:top w:val="basicThinLines"/>
            </w:tcBorders>
          </w:tcPr>
          <w:tcPr>
            <w:vAlign w:val="center"/>
          </w:tcPr>
          <w:p>
            <w:pPr>
              <w:jc w:val="center"/>
            </w:pPr>
            <w:r/>
            <w:r>
              <w:rPr xsi:nil="true">
                <w:b w:val="true"/>
              </w:rPr>
              <w:t>Confidence (%)</w:t>
            </w:r>
          </w:p>
        </w:tc>
        <w:tc>
          <w:tcPr>
            <w:tcBorders>
              <w:top w:val="basicThinLines"/>
            </w:tcBorders>
          </w:tcPr>
          <w:tcPr>
            <w:vAlign w:val="center"/>
          </w:tcPr>
          <w:p>
            <w:pPr>
              <w:jc w:val="center"/>
            </w:pPr>
            <w:r/>
            <w:r>
              <w:rPr xsi:nil="true">
                <w:b w:val="true"/>
              </w:rPr>
              <w:t>Lift</w:t>
            </w:r>
          </w:p>
        </w:tc>
      </w:tr>
      <w:tr>
        <w:tc>
          <w:tcPr>
            <w:tcBorders>
              <w:top w:val="basicThinLines"/>
            </w:tcBorders>
          </w:tcPr>
          <w:tcPr>
            <w:vAlign w:val="center"/>
          </w:tcPr>
          <w:p>
            <w:pPr>
              <w:jc w:val="left"/>
            </w:pPr>
            <w:r/>
            <w:r>
              <w:rPr xsi:nil="true"/>
              <w:t xml:space="preserve">Ganjiang (Zingiberis Rhizoma) + </w:t>
            </w:r>
            <w:r>
              <w:rPr xsi:nil="true"/>
              <w:t>Huangqin (Scutellariae Radix)</w:t>
            </w:r>
          </w:p>
        </w:tc>
        <w:tc>
          <w:tcPr>
            <w:tcBorders>
              <w:top w:val="basicThinLines"/>
            </w:tcBorders>
          </w:tcPr>
          <w:tcPr>
            <w:vAlign w:val="top"/>
          </w:tcPr>
          <w:p>
            <w:pPr>
              <w:jc w:val="left"/>
            </w:pPr>
            <w:r/>
            <w:r>
              <w:rPr xsi:nil="true"/>
              <w:t>Huanglian (Coptidis Rhizoma)</w:t>
            </w:r>
          </w:p>
        </w:tc>
        <w:tc>
          <w:tcPr>
            <w:tcBorders>
              <w:top w:val="basicThinLines"/>
            </w:tcBorders>
          </w:tcPr>
          <w:tcPr>
            <w:vAlign w:val="top"/>
          </w:tcPr>
          <w:p>
            <w:pPr>
              <w:jc w:val="center"/>
            </w:pPr>
            <w:r/>
            <w:r>
              <w:rPr xsi:nil="true"/>
              <w:t>25.49</w:t>
            </w:r>
          </w:p>
        </w:tc>
        <w:tc>
          <w:tcPr>
            <w:tcBorders>
              <w:top w:val="basicThinLines"/>
            </w:tcBorders>
          </w:tcPr>
          <w:tcPr>
            <w:vAlign w:val="top"/>
          </w:tcPr>
          <w:p>
            <w:pPr>
              <w:jc w:val="center"/>
            </w:pPr>
            <w:r/>
            <w:r>
              <w:rPr xsi:nil="true"/>
              <w:t>100.00</w:t>
            </w:r>
          </w:p>
        </w:tc>
        <w:tc>
          <w:tcPr>
            <w:tcBorders>
              <w:top w:val="basicThinLines"/>
            </w:tcBorders>
          </w:tcPr>
          <w:tcPr>
            <w:vAlign w:val="top"/>
          </w:tcPr>
          <w:p>
            <w:pPr>
              <w:jc w:val="center"/>
            </w:pPr>
            <w:r/>
            <w:r>
              <w:rPr xsi:nil="true"/>
              <w:t>1.70</w:t>
            </w:r>
          </w:p>
        </w:tc>
      </w:tr>
      <w:tr>
        <w:tc>
          <w:tcPr>
            <w:tcBorders/>
          </w:tcPr>
          <w:tcPr>
            <w:vAlign w:val="center"/>
          </w:tcPr>
          <w:p>
            <w:pPr>
              <w:jc w:val="left"/>
            </w:pPr>
            <w:r/>
            <w:r>
              <w:rPr xsi:nil="true"/>
              <w:t xml:space="preserve">Guizhi (Cinnamomi Ramulus) + </w:t>
            </w:r>
            <w:r>
              <w:rPr xsi:nil="true"/>
              <w:t>Huangqi (Astragali Radix)</w:t>
            </w:r>
          </w:p>
        </w:tc>
        <w:tc>
          <w:tcPr>
            <w:tcBorders/>
          </w:tcPr>
          <w:tcPr>
            <w:vAlign w:val="top"/>
          </w:tcPr>
          <w:p>
            <w:pPr>
              <w:jc w:val="left"/>
            </w:pPr>
            <w:r/>
            <w:r>
              <w:rPr xsi:nil="true"/>
              <w:t>Jixueteng (Spatholobi Caulis)</w:t>
            </w:r>
          </w:p>
        </w:tc>
        <w:tc>
          <w:tcPr>
            <w:tcBorders/>
          </w:tcPr>
          <w:tcPr>
            <w:vAlign w:val="top"/>
          </w:tcPr>
          <w:p>
            <w:pPr>
              <w:jc w:val="center"/>
            </w:pPr>
            <w:r/>
            <w:r>
              <w:rPr xsi:nil="true"/>
              <w:t>21.57</w:t>
            </w:r>
          </w:p>
        </w:tc>
        <w:tc>
          <w:tcPr>
            <w:tcBorders/>
          </w:tcPr>
          <w:tcPr>
            <w:vAlign w:val="top"/>
          </w:tcPr>
          <w:p>
            <w:pPr>
              <w:jc w:val="center"/>
            </w:pPr>
            <w:r/>
            <w:r>
              <w:rPr xsi:nil="true"/>
              <w:t>100.00</w:t>
            </w:r>
          </w:p>
        </w:tc>
        <w:tc>
          <w:tcPr>
            <w:tcBorders/>
          </w:tcPr>
          <w:tcPr>
            <w:vAlign w:val="top"/>
          </w:tcPr>
          <w:p>
            <w:pPr>
              <w:jc w:val="center"/>
            </w:pPr>
            <w:r/>
            <w:r>
              <w:rPr xsi:nil="true"/>
              <w:t>2.68</w:t>
            </w:r>
          </w:p>
        </w:tc>
      </w:tr>
      <w:tr>
        <w:tc>
          <w:tcPr>
            <w:tcBorders/>
          </w:tcPr>
          <w:tcPr>
            <w:vAlign w:val="center"/>
          </w:tcPr>
          <w:p>
            <w:pPr>
              <w:jc w:val="left"/>
            </w:pPr>
            <w:r/>
            <w:r>
              <w:rPr xsi:nil="true"/>
              <w:t xml:space="preserve">Baishao (Paeoniae Radix Alba) + </w:t>
            </w:r>
            <w:r>
              <w:rPr xsi:nil="true"/>
              <w:t>Guizhi (Cinnamomi Ramulus)</w:t>
            </w:r>
          </w:p>
        </w:tc>
        <w:tc>
          <w:tcPr>
            <w:tcBorders/>
          </w:tcPr>
          <w:tcPr>
            <w:vAlign w:val="center"/>
          </w:tcPr>
          <w:p>
            <w:pPr>
              <w:jc w:val="left"/>
            </w:pPr>
            <w:r/>
            <w:r>
              <w:rPr xsi:nil="true"/>
              <w:t>Shengjiang (Zingiberis Rhizoma Recens)</w:t>
            </w:r>
          </w:p>
        </w:tc>
        <w:tc>
          <w:tcPr>
            <w:tcBorders/>
          </w:tcPr>
          <w:tcPr>
            <w:vAlign w:val="top"/>
          </w:tcPr>
          <w:p>
            <w:pPr>
              <w:jc w:val="center"/>
            </w:pPr>
            <w:r/>
            <w:r>
              <w:rPr xsi:nil="true"/>
              <w:t>17.65</w:t>
            </w:r>
          </w:p>
        </w:tc>
        <w:tc>
          <w:tcPr>
            <w:tcBorders/>
          </w:tcPr>
          <w:tcPr>
            <w:vAlign w:val="top"/>
          </w:tcPr>
          <w:p>
            <w:pPr>
              <w:jc w:val="center"/>
            </w:pPr>
            <w:r/>
            <w:r>
              <w:rPr xsi:nil="true"/>
              <w:t>100.00</w:t>
            </w:r>
          </w:p>
        </w:tc>
        <w:tc>
          <w:tcPr>
            <w:tcBorders/>
          </w:tcPr>
          <w:tcPr>
            <w:vAlign w:val="top"/>
          </w:tcPr>
          <w:p>
            <w:pPr>
              <w:jc w:val="center"/>
            </w:pPr>
            <w:r/>
            <w:r>
              <w:rPr xsi:nil="true"/>
              <w:t>2.83</w:t>
            </w:r>
          </w:p>
        </w:tc>
      </w:tr>
      <w:tr>
        <w:tc>
          <w:tcPr>
            <w:tcBorders/>
          </w:tcPr>
          <w:tcPr>
            <w:vAlign w:val="center"/>
          </w:tcPr>
          <w:p>
            <w:pPr>
              <w:jc w:val="left"/>
            </w:pPr>
            <w:r/>
            <w:r>
              <w:rPr xsi:nil="true"/>
              <w:t xml:space="preserve">Baishao (Paeoniae Radix Alba) + </w:t>
            </w:r>
            <w:r>
              <w:rPr xsi:nil="true"/>
              <w:t>Jixueteng (Spatholobi Caulis)</w:t>
            </w:r>
          </w:p>
        </w:tc>
        <w:tc>
          <w:tcPr>
            <w:tcBorders/>
          </w:tcPr>
          <w:tcPr>
            <w:vAlign w:val="center"/>
          </w:tcPr>
          <w:p>
            <w:pPr>
              <w:jc w:val="left"/>
            </w:pPr>
            <w:r/>
            <w:r>
              <w:rPr xsi:nil="true"/>
              <w:t>Shengjiang (Zingiberis Rhizoma Recens)</w:t>
            </w:r>
          </w:p>
        </w:tc>
        <w:tc>
          <w:tcPr>
            <w:tcBorders/>
          </w:tcPr>
          <w:tcPr>
            <w:vAlign w:val="top"/>
          </w:tcPr>
          <w:p>
            <w:pPr>
              <w:jc w:val="center"/>
            </w:pPr>
            <w:r/>
            <w:r>
              <w:rPr xsi:nil="true"/>
              <w:t>17.65</w:t>
            </w:r>
          </w:p>
        </w:tc>
        <w:tc>
          <w:tcPr>
            <w:tcBorders/>
          </w:tcPr>
          <w:tcPr>
            <w:vAlign w:val="top"/>
          </w:tcPr>
          <w:p>
            <w:pPr>
              <w:jc w:val="center"/>
            </w:pPr>
            <w:r/>
            <w:r>
              <w:rPr xsi:nil="true"/>
              <w:t>100.00</w:t>
            </w:r>
          </w:p>
        </w:tc>
        <w:tc>
          <w:tcPr>
            <w:tcBorders/>
          </w:tcPr>
          <w:tcPr>
            <w:vAlign w:val="top"/>
          </w:tcPr>
          <w:p>
            <w:pPr>
              <w:jc w:val="center"/>
            </w:pPr>
            <w:r/>
            <w:r>
              <w:rPr xsi:nil="true"/>
              <w:t>2.83</w:t>
            </w:r>
          </w:p>
        </w:tc>
      </w:tr>
      <w:tr>
        <w:tc>
          <w:tcPr>
            <w:tcBorders/>
          </w:tcPr>
          <w:tcPr>
            <w:vAlign w:val="top"/>
          </w:tcPr>
          <w:p>
            <w:pPr>
              <w:jc w:val="left"/>
            </w:pPr>
            <w:r/>
            <w:r>
              <w:rPr xsi:nil="true"/>
              <w:t xml:space="preserve">Baishao (Paeoniae Radix Alba) + </w:t>
            </w:r>
            <w:r>
              <w:rPr xsi:nil="true"/>
              <w:t>Huangqi (Astragali Radix)</w:t>
            </w:r>
          </w:p>
        </w:tc>
        <w:tc>
          <w:tcPr>
            <w:tcBorders/>
          </w:tcPr>
          <w:tcPr>
            <w:vAlign w:val="top"/>
          </w:tcPr>
          <w:p>
            <w:pPr>
              <w:jc w:val="left"/>
            </w:pPr>
            <w:r/>
            <w:r>
              <w:rPr xsi:nil="true"/>
              <w:t>Guizhi (Cinnamomi Ramulus)</w:t>
            </w:r>
          </w:p>
        </w:tc>
        <w:tc>
          <w:tcPr>
            <w:tcBorders/>
          </w:tcPr>
          <w:tcPr>
            <w:vAlign w:val="top"/>
          </w:tcPr>
          <w:p>
            <w:pPr>
              <w:jc w:val="center"/>
            </w:pPr>
            <w:r/>
            <w:r>
              <w:rPr xsi:nil="true"/>
              <w:t>15.69</w:t>
            </w:r>
          </w:p>
        </w:tc>
        <w:tc>
          <w:tcPr>
            <w:tcBorders/>
          </w:tcPr>
          <w:tcPr>
            <w:vAlign w:val="top"/>
          </w:tcPr>
          <w:p>
            <w:pPr>
              <w:jc w:val="center"/>
            </w:pPr>
            <w:r/>
            <w:r>
              <w:rPr xsi:nil="true"/>
              <w:t>100.00</w:t>
            </w:r>
          </w:p>
        </w:tc>
        <w:tc>
          <w:tcPr>
            <w:tcBorders/>
          </w:tcPr>
          <w:tcPr>
            <w:vAlign w:val="top"/>
          </w:tcPr>
          <w:p>
            <w:pPr>
              <w:jc w:val="center"/>
            </w:pPr>
            <w:r/>
            <w:r>
              <w:rPr xsi:nil="true"/>
              <w:t>3.40</w:t>
            </w:r>
          </w:p>
        </w:tc>
      </w:tr>
      <w:tr>
        <w:tc>
          <w:tcPr>
            <w:tcBorders/>
          </w:tcPr>
          <w:tcPr>
            <w:vAlign w:val="center"/>
          </w:tcPr>
          <w:p>
            <w:pPr>
              <w:jc w:val="left"/>
            </w:pPr>
            <w:r/>
            <w:r>
              <w:rPr xsi:nil="true"/>
              <w:t xml:space="preserve">Baishao (Paeoniae Radix Alba) + </w:t>
            </w:r>
            <w:r>
              <w:rPr xsi:nil="true"/>
              <w:t>Huanglian (Coptidis Rhizoma)</w:t>
            </w:r>
          </w:p>
        </w:tc>
        <w:tc>
          <w:tcPr>
            <w:tcBorders/>
          </w:tcPr>
          <w:tcPr>
            <w:vAlign w:val="center"/>
          </w:tcPr>
          <w:p>
            <w:pPr>
              <w:jc w:val="left"/>
            </w:pPr>
            <w:r/>
            <w:r>
              <w:rPr xsi:nil="true"/>
              <w:t>Shengjiang (Zingiberis Rhizoma Recens)</w:t>
            </w:r>
          </w:p>
        </w:tc>
        <w:tc>
          <w:tcPr>
            <w:tcBorders/>
          </w:tcPr>
          <w:tcPr>
            <w:vAlign w:val="top"/>
          </w:tcPr>
          <w:p>
            <w:pPr>
              <w:jc w:val="center"/>
            </w:pPr>
            <w:r/>
            <w:r>
              <w:rPr xsi:nil="true"/>
              <w:t>15.69</w:t>
            </w:r>
          </w:p>
        </w:tc>
        <w:tc>
          <w:tcPr>
            <w:tcBorders/>
          </w:tcPr>
          <w:tcPr>
            <w:vAlign w:val="top"/>
          </w:tcPr>
          <w:p>
            <w:pPr>
              <w:jc w:val="center"/>
            </w:pPr>
            <w:r/>
            <w:r>
              <w:rPr xsi:nil="true"/>
              <w:t>100.00</w:t>
            </w:r>
          </w:p>
        </w:tc>
        <w:tc>
          <w:tcPr>
            <w:tcBorders/>
          </w:tcPr>
          <w:tcPr>
            <w:vAlign w:val="top"/>
          </w:tcPr>
          <w:p>
            <w:pPr>
              <w:jc w:val="center"/>
            </w:pPr>
            <w:r/>
            <w:r>
              <w:rPr xsi:nil="true"/>
              <w:t>2.83</w:t>
            </w:r>
          </w:p>
        </w:tc>
      </w:tr>
      <w:tr>
        <w:tc>
          <w:tcPr>
            <w:tcBorders>
              <w:bottom w:val="basicThinLines"/>
            </w:tcBorders>
          </w:tcPr>
          <w:tcPr>
            <w:vAlign w:val="top"/>
          </w:tcPr>
          <w:p>
            <w:pPr>
              <w:jc w:val="left"/>
            </w:pPr>
            <w:r/>
            <w:r>
              <w:rPr xsi:nil="true"/>
              <w:t xml:space="preserve">Baishao (Paeoniae Radix Alba) + </w:t>
            </w:r>
            <w:r>
              <w:rPr xsi:nil="true"/>
              <w:t>Huangqi (Astragali Radix)</w:t>
            </w:r>
          </w:p>
        </w:tc>
        <w:tc>
          <w:tcPr>
            <w:tcBorders>
              <w:bottom w:val="basicThinLines"/>
            </w:tcBorders>
          </w:tcPr>
          <w:tcPr>
            <w:vAlign w:val="top"/>
          </w:tcPr>
          <w:p>
            <w:pPr>
              <w:jc w:val="left"/>
            </w:pPr>
            <w:r/>
            <w:r>
              <w:rPr xsi:nil="true"/>
              <w:t>Jixueteng (Spatholobi Caulis)</w:t>
            </w:r>
          </w:p>
        </w:tc>
        <w:tc>
          <w:tcPr>
            <w:tcBorders>
              <w:bottom w:val="basicThinLines"/>
            </w:tcBorders>
          </w:tcPr>
          <w:tcPr>
            <w:vAlign w:val="top"/>
          </w:tcPr>
          <w:p>
            <w:pPr>
              <w:jc w:val="center"/>
            </w:pPr>
            <w:r/>
            <w:r>
              <w:rPr xsi:nil="true"/>
              <w:t>15.69</w:t>
            </w:r>
          </w:p>
        </w:tc>
        <w:tc>
          <w:tcPr>
            <w:tcBorders>
              <w:bottom w:val="basicThinLines"/>
            </w:tcBorders>
          </w:tcPr>
          <w:tcPr>
            <w:vAlign w:val="top"/>
          </w:tcPr>
          <w:p>
            <w:pPr>
              <w:jc w:val="center"/>
            </w:pPr>
            <w:r/>
            <w:r>
              <w:rPr xsi:nil="true"/>
              <w:t>100.00</w:t>
            </w:r>
          </w:p>
        </w:tc>
        <w:tc>
          <w:tcPr>
            <w:tcBorders>
              <w:bottom w:val="basicThinLines"/>
            </w:tcBorders>
          </w:tcPr>
          <w:tcPr>
            <w:vAlign w:val="top"/>
          </w:tcPr>
          <w:p>
            <w:pPr>
              <w:jc w:val="center"/>
            </w:pPr>
            <w:r/>
            <w:r>
              <w:rPr xsi:nil="true"/>
              <w:t>2.68</w:t>
            </w:r>
          </w:p>
        </w:tc>
      </w:tr>
    </w:tbl>
    <w:p>
      <w:pPr>
        <w:ind w:firstLine="420"/>
        <w:rPr>
          <w:rFonts w:ascii="Times New Roman" w:hAnsi="宋体"/>
          <w:sz w:val="24"/>
          <w:szCs w:val="24"/>
        </w:rPr>
      </w:pPr>
    </w:p>
    <w:p>
      <w:pPr>
        <w:ind w:firstLine="480" w:firstLineChars="200"/>
        <w:rPr>
          <w:rFonts w:ascii="Times New Roman" w:hAnsi="宋体"/>
          <w:sz w:val="24"/>
          <w:szCs w:val="24"/>
        </w:rPr>
      </w:pPr>
    </w:p>
    <w:p>
      <w:pPr>
        <w:spacing w:after="156" w:afterLines="50" w:line="360" w:lineRule="auto"/>
        <w:ind w:firstLine="482" w:firstLineChars="200"/>
        <w:jc w:val="center"/>
        <w:rPr>
          <w:rFonts w:ascii="Times New Roman" w:hAnsi="宋体"/>
          <w:sz w:val="24"/>
          <w:szCs w:val="24"/>
        </w:rPr>
      </w:pPr>
      <w:r>
        <w:rPr>
          <w:rFonts w:ascii="Times New Roman" w:hAnsi="宋体" w:hint="eastAsia"/>
          <w:b/>
          <w:bCs/>
          <w:sz w:val="24"/>
          <w:szCs w:val="24"/>
        </w:rPr>
        <w:t xml:space="preserve">Table 7 </w:t>
      </w:r>
      <w:r>
        <w:rPr>
          <w:rFonts w:ascii="Times New Roman" w:hAnsi="宋体" w:hint="eastAsia"/>
          <w:sz w:val="24"/>
          <w:szCs w:val="24"/>
        </w:rPr>
        <w:t xml:space="preserve"> Drug-drug fourth-order associations</w:t>
      </w:r>
    </w:p>
    <w:tbl>
      <w:tblPr>
        <w:tblStyleColBandSize w:val="30"/>
        <w:tblW w:w="8300" w:type="dxa"/>
        <w:jc w:val="center"/>
        <w:tblBorders>
          <w:top w:val="single"/>
          <w:left w:val="single"/>
          <w:bottom w:val="single"/>
          <w:right w:val="single"/>
          <w:insideH w:val="none" w:sz="0" w:space="0" w:color=""/>
          <w:insideV w:val="none" w:sz="0" w:space="0" w:color=""/>
        </w:tblBorders>
        <w:tblBorders>
          <w:top xsi:nil="true"/>
          <w:left xsi:nil="true"/>
          <w:bottom xsi:nil="true"/>
          <w:right xsi:nil="true"/>
        </w:tblBorders>
        <w:tblCellMar>
          <w:top w:type="dxa" w:w="0"/>
          <w:left w:type="dxa" w:w="30"/>
          <w:bottom w:type="dxa" w:w="0"/>
          <w:right w:type="dxa" w:w="30"/>
        </w:tblCellMar>
      </w:tblPr>
      <w:tr>
        <w:tc>
          <w:tcPr>
            <w:tcBorders>
              <w:top w:val="basicThinLines"/>
            </w:tcBorders>
          </w:tcPr>
          <w:tcPr>
            <w:vAlign w:val="center"/>
          </w:tcPr>
          <w:p>
            <w:pPr>
              <w:jc w:val="center"/>
            </w:pPr>
            <w:r/>
            <w:r>
              <w:rPr xsi:nil="true">
                <w:b w:val="true"/>
              </w:rPr>
              <w:t>Antecedent</w:t>
            </w:r>
          </w:p>
        </w:tc>
        <w:tc>
          <w:tcPr>
            <w:tcBorders>
              <w:top w:val="basicThinLines"/>
            </w:tcBorders>
          </w:tcPr>
          <w:tcPr>
            <w:vAlign w:val="center"/>
          </w:tcPr>
          <w:p>
            <w:pPr>
              <w:jc w:val="center"/>
            </w:pPr>
            <w:r/>
            <w:r>
              <w:rPr xsi:nil="true">
                <w:b w:val="true"/>
              </w:rPr>
              <w:t>Succedent</w:t>
            </w:r>
          </w:p>
        </w:tc>
        <w:tc>
          <w:tcPr>
            <w:tcBorders>
              <w:top w:val="basicThinLines"/>
            </w:tcBorders>
          </w:tcPr>
          <w:tcPr>
            <w:vAlign w:val="center"/>
          </w:tcPr>
          <w:p>
            <w:pPr>
              <w:jc w:val="center"/>
            </w:pPr>
            <w:r/>
            <w:r>
              <w:rPr xsi:nil="true">
                <w:b w:val="true"/>
              </w:rPr>
              <w:t>Support (%)</w:t>
            </w:r>
          </w:p>
        </w:tc>
        <w:tc>
          <w:tcPr>
            <w:tcBorders>
              <w:top w:val="basicThinLines"/>
            </w:tcBorders>
          </w:tcPr>
          <w:tcPr>
            <w:vAlign w:val="center"/>
          </w:tcPr>
          <w:p>
            <w:pPr>
              <w:jc w:val="center"/>
            </w:pPr>
            <w:r/>
            <w:r>
              <w:rPr xsi:nil="true">
                <w:b w:val="true"/>
              </w:rPr>
              <w:t>Confidence (%)</w:t>
            </w:r>
          </w:p>
        </w:tc>
        <w:tc>
          <w:tcPr>
            <w:tcBorders>
              <w:top w:val="basicThinLines"/>
            </w:tcBorders>
          </w:tcPr>
          <w:tcPr>
            <w:vAlign w:val="center"/>
          </w:tcPr>
          <w:p>
            <w:pPr>
              <w:jc w:val="center"/>
            </w:pPr>
            <w:r/>
            <w:r>
              <w:rPr xsi:nil="true">
                <w:b w:val="true"/>
              </w:rPr>
              <w:t>Lift</w:t>
            </w:r>
          </w:p>
        </w:tc>
      </w:tr>
      <w:tr>
        <w:tc>
          <w:tcPr>
            <w:tcBorders>
              <w:top w:val="basicThinLines"/>
            </w:tcBorders>
          </w:tcPr>
          <w:tcPr>
            <w:vAlign w:val="center"/>
          </w:tcPr>
          <w:p>
            <w:pPr>
              <w:jc w:val="left"/>
            </w:pPr>
            <w:r/>
            <w:r>
              <w:rPr xsi:nil="true"/>
              <w:t>Baishao (Paeoniae Radix Alba) + Guizhi (Cinnamomi Ramulus) + Jixueteng (Spatholobi Caulis)</w:t>
            </w:r>
          </w:p>
        </w:tc>
        <w:tc>
          <w:tcPr>
            <w:tcBorders>
              <w:top w:val="basicThinLines"/>
            </w:tcBorders>
          </w:tcPr>
          <w:tcPr>
            <w:vAlign w:val="top"/>
          </w:tcPr>
          <w:p>
            <w:pPr>
              <w:jc w:val="left"/>
            </w:pPr>
            <w:r/>
            <w:r>
              <w:rPr xsi:nil="true"/>
              <w:t>Huangqi (Astragali Radix)</w:t>
            </w:r>
          </w:p>
        </w:tc>
        <w:tc>
          <w:tcPr>
            <w:tcBorders>
              <w:top w:val="basicThinLines"/>
            </w:tcBorders>
          </w:tcPr>
          <w:tcPr>
            <w:vAlign w:val="top"/>
          </w:tcPr>
          <w:p>
            <w:pPr>
              <w:jc w:val="center"/>
            </w:pPr>
            <w:r/>
            <w:r>
              <w:rPr xsi:nil="true"/>
              <w:t>15.69</w:t>
            </w:r>
          </w:p>
        </w:tc>
        <w:tc>
          <w:tcPr>
            <w:tcBorders>
              <w:top w:val="basicThinLines"/>
            </w:tcBorders>
          </w:tcPr>
          <w:tcPr>
            <w:vAlign w:val="top"/>
          </w:tcPr>
          <w:p>
            <w:pPr>
              <w:jc w:val="center"/>
            </w:pPr>
            <w:r/>
            <w:r>
              <w:rPr xsi:nil="true"/>
              <w:t>100.00</w:t>
            </w:r>
          </w:p>
        </w:tc>
        <w:tc>
          <w:tcPr>
            <w:tcBorders>
              <w:top w:val="basicThinLines"/>
            </w:tcBorders>
          </w:tcPr>
          <w:tcPr>
            <w:vAlign w:val="top"/>
          </w:tcPr>
          <w:p>
            <w:pPr>
              <w:jc w:val="center"/>
            </w:pPr>
            <w:r/>
            <w:r>
              <w:rPr xsi:nil="true"/>
              <w:t>1.96</w:t>
            </w:r>
          </w:p>
        </w:tc>
      </w:tr>
      <w:tr>
        <w:tc>
          <w:tcPr>
            <w:tcBorders/>
          </w:tcPr>
          <w:tcPr>
            <w:vAlign w:val="center"/>
          </w:tcPr>
          <w:p>
            <w:pPr>
              <w:jc w:val="left"/>
            </w:pPr>
            <w:r/>
            <w:r>
              <w:rPr xsi:nil="true"/>
              <w:t>Guizhi (Cinnamomi Ramulus) + Shengjiang (Zingiberis Rhizoma Recens) + Jixueteng (Spatholobi Caulis)</w:t>
            </w:r>
          </w:p>
        </w:tc>
        <w:tc>
          <w:tcPr>
            <w:tcBorders/>
          </w:tcPr>
          <w:tcPr>
            <w:vAlign w:val="top"/>
          </w:tcPr>
          <w:p>
            <w:pPr>
              <w:jc w:val="left"/>
            </w:pPr>
            <w:r/>
            <w:r>
              <w:rPr xsi:nil="true"/>
              <w:t>Baishao (Paeoniae Radix Alba)</w:t>
            </w:r>
          </w:p>
        </w:tc>
        <w:tc>
          <w:tcPr>
            <w:tcBorders/>
          </w:tcPr>
          <w:tcPr>
            <w:vAlign w:val="top"/>
          </w:tcPr>
          <w:p>
            <w:pPr>
              <w:jc w:val="center"/>
            </w:pPr>
            <w:r/>
            <w:r>
              <w:rPr xsi:nil="true"/>
              <w:t>15.69</w:t>
            </w:r>
          </w:p>
        </w:tc>
        <w:tc>
          <w:tcPr>
            <w:tcBorders/>
          </w:tcPr>
          <w:tcPr>
            <w:vAlign w:val="top"/>
          </w:tcPr>
          <w:p>
            <w:pPr>
              <w:jc w:val="center"/>
            </w:pPr>
            <w:r/>
            <w:r>
              <w:rPr xsi:nil="true"/>
              <w:t>100.00</w:t>
            </w:r>
          </w:p>
        </w:tc>
        <w:tc>
          <w:tcPr>
            <w:tcBorders/>
          </w:tcPr>
          <w:tcPr>
            <w:vAlign w:val="top"/>
          </w:tcPr>
          <w:p>
            <w:pPr>
              <w:jc w:val="center"/>
            </w:pPr>
            <w:r/>
            <w:r>
              <w:rPr xsi:nil="true"/>
              <w:t>5.10</w:t>
            </w:r>
          </w:p>
        </w:tc>
      </w:tr>
      <w:tr>
        <w:tc>
          <w:tcPr>
            <w:tcBorders/>
          </w:tcPr>
          <w:tcPr>
            <w:vAlign w:val="center"/>
          </w:tcPr>
          <w:p>
            <w:pPr>
              <w:jc w:val="left"/>
            </w:pPr>
            <w:r/>
            <w:r>
              <w:rPr xsi:nil="true"/>
              <w:t>Baishao (Paeoniae Radix Alba) + Guizhi (Cinnamomi Ramulus) + Huangqi (Astragali Radix)</w:t>
            </w:r>
          </w:p>
        </w:tc>
        <w:tc>
          <w:tcPr>
            <w:tcBorders/>
          </w:tcPr>
          <w:tcPr>
            <w:vAlign w:val="center"/>
          </w:tcPr>
          <w:p>
            <w:pPr>
              <w:jc w:val="left"/>
            </w:pPr>
            <w:r/>
            <w:r>
              <w:rPr xsi:nil="true"/>
              <w:t>Shengjiang (Zingiberis Rhizoma Recens)</w:t>
            </w:r>
          </w:p>
        </w:tc>
        <w:tc>
          <w:tcPr>
            <w:tcBorders/>
          </w:tcPr>
          <w:tcPr>
            <w:vAlign w:val="top"/>
          </w:tcPr>
          <w:p>
            <w:pPr>
              <w:jc w:val="center"/>
            </w:pPr>
            <w:r/>
            <w:r>
              <w:rPr xsi:nil="true"/>
              <w:t>15.69</w:t>
            </w:r>
          </w:p>
        </w:tc>
        <w:tc>
          <w:tcPr>
            <w:tcBorders/>
          </w:tcPr>
          <w:tcPr>
            <w:vAlign w:val="top"/>
          </w:tcPr>
          <w:p>
            <w:pPr>
              <w:jc w:val="center"/>
            </w:pPr>
            <w:r/>
            <w:r>
              <w:rPr xsi:nil="true"/>
              <w:t>100.00</w:t>
            </w:r>
          </w:p>
        </w:tc>
        <w:tc>
          <w:tcPr>
            <w:tcBorders/>
          </w:tcPr>
          <w:tcPr>
            <w:vAlign w:val="top"/>
          </w:tcPr>
          <w:p>
            <w:pPr>
              <w:jc w:val="center"/>
            </w:pPr>
            <w:r/>
            <w:r>
              <w:rPr xsi:nil="true"/>
              <w:t>2.83</w:t>
            </w:r>
          </w:p>
        </w:tc>
      </w:tr>
      <w:tr>
        <w:tc>
          <w:tcPr>
            <w:tcBorders/>
          </w:tcPr>
          <w:tcPr>
            <w:vAlign w:val="center"/>
          </w:tcPr>
          <w:p>
            <w:pPr>
              <w:jc w:val="left"/>
            </w:pPr>
            <w:r/>
            <w:r>
              <w:rPr xsi:nil="true"/>
              <w:t>Baishao (Paeoniae Radix Alba) + Shengjiang (Zingiberis Rhizoma Recens) + Huangqi (Astragali Radix)</w:t>
            </w:r>
          </w:p>
        </w:tc>
        <w:tc>
          <w:tcPr>
            <w:tcBorders/>
          </w:tcPr>
          <w:tcPr>
            <w:vAlign w:val="top"/>
          </w:tcPr>
          <w:p>
            <w:pPr>
              <w:jc w:val="left"/>
            </w:pPr>
            <w:r/>
            <w:r>
              <w:rPr xsi:nil="true"/>
              <w:t>Jixueteng (Spatholobi Caulis)</w:t>
            </w:r>
          </w:p>
        </w:tc>
        <w:tc>
          <w:tcPr>
            <w:tcBorders/>
          </w:tcPr>
          <w:tcPr>
            <w:vAlign w:val="top"/>
          </w:tcPr>
          <w:p>
            <w:pPr>
              <w:jc w:val="center"/>
            </w:pPr>
            <w:r/>
            <w:r>
              <w:rPr xsi:nil="true"/>
              <w:t>15.69</w:t>
            </w:r>
          </w:p>
        </w:tc>
        <w:tc>
          <w:tcPr>
            <w:tcBorders/>
          </w:tcPr>
          <w:tcPr>
            <w:vAlign w:val="top"/>
          </w:tcPr>
          <w:p>
            <w:pPr>
              <w:jc w:val="center"/>
            </w:pPr>
            <w:r/>
            <w:r>
              <w:rPr xsi:nil="true"/>
              <w:t>100.00</w:t>
            </w:r>
          </w:p>
        </w:tc>
        <w:tc>
          <w:tcPr>
            <w:tcBorders/>
          </w:tcPr>
          <w:tcPr>
            <w:vAlign w:val="top"/>
          </w:tcPr>
          <w:p>
            <w:pPr>
              <w:jc w:val="center"/>
            </w:pPr>
            <w:r/>
            <w:r>
              <w:rPr xsi:nil="true"/>
              <w:t>2.68</w:t>
            </w:r>
          </w:p>
        </w:tc>
      </w:tr>
      <w:tr>
        <w:tc>
          <w:tcPr>
            <w:tcBorders/>
          </w:tcPr>
          <w:tcPr>
            <w:vAlign w:val="center"/>
          </w:tcPr>
          <w:p>
            <w:pPr>
              <w:jc w:val="left"/>
            </w:pPr>
            <w:r/>
            <w:r>
              <w:rPr xsi:nil="true"/>
              <w:t>Guizhi (Cinnamomi Ramulus) + Shengjiang (Zingiberis Rhizoma Recens) + Jixueteng (Spatholobi Caulis)</w:t>
            </w:r>
          </w:p>
        </w:tc>
        <w:tc>
          <w:tcPr>
            <w:tcBorders/>
          </w:tcPr>
          <w:tcPr>
            <w:vAlign w:val="top"/>
          </w:tcPr>
          <w:p>
            <w:pPr>
              <w:jc w:val="left"/>
            </w:pPr>
            <w:r/>
            <w:r>
              <w:rPr xsi:nil="true"/>
              <w:t>Huangqi (Astragali Radix)</w:t>
            </w:r>
          </w:p>
        </w:tc>
        <w:tc>
          <w:tcPr>
            <w:tcBorders/>
          </w:tcPr>
          <w:tcPr>
            <w:vAlign w:val="top"/>
          </w:tcPr>
          <w:p>
            <w:pPr>
              <w:jc w:val="center"/>
            </w:pPr>
            <w:r/>
            <w:r>
              <w:rPr xsi:nil="true"/>
              <w:t>15.69</w:t>
            </w:r>
          </w:p>
        </w:tc>
        <w:tc>
          <w:tcPr>
            <w:tcBorders/>
          </w:tcPr>
          <w:tcPr>
            <w:vAlign w:val="top"/>
          </w:tcPr>
          <w:p>
            <w:pPr>
              <w:jc w:val="center"/>
            </w:pPr>
            <w:r/>
            <w:r>
              <w:rPr xsi:nil="true"/>
              <w:t>100.00</w:t>
            </w:r>
          </w:p>
        </w:tc>
        <w:tc>
          <w:tcPr>
            <w:tcBorders/>
          </w:tcPr>
          <w:tcPr>
            <w:vAlign w:val="top"/>
          </w:tcPr>
          <w:p>
            <w:pPr>
              <w:jc w:val="center"/>
            </w:pPr>
            <w:r/>
            <w:r>
              <w:rPr xsi:nil="true"/>
              <w:t>1.96</w:t>
            </w:r>
          </w:p>
        </w:tc>
      </w:tr>
      <w:tr>
        <w:tc>
          <w:tcPr>
            <w:tcBorders>
              <w:bottom w:val="basicThinLines"/>
            </w:tcBorders>
          </w:tcPr>
          <w:tcPr>
            <w:vAlign w:val="center"/>
          </w:tcPr>
          <w:p>
            <w:pPr>
              <w:jc w:val="left"/>
            </w:pPr>
            <w:r/>
            <w:r>
              <w:rPr xsi:nil="true"/>
              <w:t>Guizhi (Cinnamomi Ramulus) + Jixueteng (Spatholobi Caulis) + Huanglian (Coptidis Rhizoma)</w:t>
            </w:r>
          </w:p>
        </w:tc>
        <w:tc>
          <w:tcPr>
            <w:tcBorders>
              <w:bottom w:val="basicThinLines"/>
            </w:tcBorders>
          </w:tcPr>
          <w:tcPr>
            <w:vAlign w:val="top"/>
          </w:tcPr>
          <w:p>
            <w:pPr>
              <w:jc w:val="left"/>
            </w:pPr>
            <w:r/>
            <w:r>
              <w:rPr xsi:nil="true"/>
              <w:t>Huangqi (Astragali Radix)</w:t>
            </w:r>
          </w:p>
        </w:tc>
        <w:tc>
          <w:tcPr>
            <w:tcBorders>
              <w:bottom w:val="basicThinLines"/>
            </w:tcBorders>
          </w:tcPr>
          <w:tcPr>
            <w:vAlign w:val="top"/>
          </w:tcPr>
          <w:p>
            <w:pPr>
              <w:jc w:val="center"/>
            </w:pPr>
            <w:r/>
            <w:r>
              <w:rPr xsi:nil="true"/>
              <w:t>15.69</w:t>
            </w:r>
          </w:p>
        </w:tc>
        <w:tc>
          <w:tcPr>
            <w:tcBorders>
              <w:bottom w:val="basicThinLines"/>
            </w:tcBorders>
          </w:tcPr>
          <w:tcPr>
            <w:vAlign w:val="top"/>
          </w:tcPr>
          <w:p>
            <w:pPr>
              <w:jc w:val="center"/>
            </w:pPr>
            <w:r/>
            <w:r>
              <w:rPr xsi:nil="true"/>
              <w:t>100.00</w:t>
            </w:r>
          </w:p>
        </w:tc>
        <w:tc>
          <w:tcPr>
            <w:tcBorders>
              <w:bottom w:val="basicThinLines"/>
            </w:tcBorders>
          </w:tcPr>
          <w:tcPr>
            <w:vAlign w:val="top"/>
          </w:tcPr>
          <w:p>
            <w:pPr>
              <w:jc w:val="center"/>
            </w:pPr>
            <w:r/>
            <w:r>
              <w:rPr xsi:nil="true"/>
              <w:t>1.96</w:t>
            </w:r>
          </w:p>
        </w:tc>
      </w:tr>
    </w:tbl>
    <w:p>
      <w:pPr>
        <w:ind w:firstLine="420"/>
        <w:rPr>
          <w:rFonts w:ascii="Times New Roman" w:hAnsi="宋体"/>
          <w:sz w:val="24"/>
          <w:szCs w:val="24"/>
        </w:rPr>
      </w:pPr>
    </w:p>
    <w:p>
      <w:pPr>
        <w:spacing w:before="156" w:beforeLines="50" w:line="360" w:lineRule="auto"/>
        <w:jc w:val="left"/>
        <w:rPr>
          <w:rFonts w:ascii="Times New Roman" w:hAnsi="宋体"/>
          <w:sz w:val="24"/>
          <w:szCs w:val="24"/>
        </w:rPr>
      </w:pPr>
      <w:r>
        <w:rPr>
          <w:rFonts w:ascii="Times New Roman" w:hAnsi="宋体" w:hint="eastAsia"/>
          <w:b/>
          <w:sz w:val="26"/>
          <w:szCs w:val="32"/>
        </w:rPr>
        <w:t>3.3  Drug-symptom association rule mining</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The drug-symptom associations were analyzed under the criteria of support ≥ 5% and confidence = 100%, which found eight second-order association rules (</w:t>
      </w:r>
      <w:r>
        <w:rPr>
          <w:rFonts w:ascii="Times New Roman" w:hAnsi="宋体" w:hint="eastAsia"/>
          <w:sz w:val="24"/>
          <w:szCs w:val="24"/>
        </w:rPr>
        <w:t>Table 8</w:t>
      </w:r>
      <w:r>
        <w:rPr>
          <w:rFonts w:ascii="Times New Roman" w:hAnsi="宋体" w:hint="eastAsia"/>
          <w:sz w:val="24"/>
          <w:szCs w:val="24"/>
        </w:rPr>
        <w:t>), 31 third-order rules (</w:t>
      </w:r>
      <w:r>
        <w:rPr>
          <w:rFonts w:ascii="Times New Roman" w:hAnsi="宋体" w:hint="eastAsia"/>
          <w:sz w:val="24"/>
          <w:szCs w:val="24"/>
        </w:rPr>
        <w:t>Table 9</w:t>
      </w:r>
      <w:r>
        <w:rPr>
          <w:rFonts w:ascii="Times New Roman" w:hAnsi="宋体" w:hint="eastAsia"/>
          <w:sz w:val="24"/>
          <w:szCs w:val="24"/>
        </w:rPr>
        <w:t>), and 30 fourth-order rules (</w:t>
      </w:r>
      <w:r>
        <w:rPr>
          <w:rFonts w:ascii="Times New Roman" w:hAnsi="宋体" w:hint="eastAsia"/>
          <w:sz w:val="24"/>
          <w:szCs w:val="24"/>
        </w:rPr>
        <w:t>Table 10</w:t>
      </w:r>
      <w:r>
        <w:rPr>
          <w:rFonts w:ascii="Times New Roman" w:hAnsi="宋体" w:hint="eastAsia"/>
          <w:sz w:val="24"/>
          <w:szCs w:val="24"/>
        </w:rPr>
        <w:t>).</w:t>
      </w:r>
    </w:p>
    <w:p>
      <w:pPr>
        <w:ind w:firstLine="480" w:firstLineChars="200"/>
        <w:rPr>
          <w:rFonts w:ascii="Times New Roman" w:hAnsi="宋体"/>
          <w:sz w:val="24"/>
          <w:szCs w:val="24"/>
        </w:rPr>
      </w:pPr>
    </w:p>
    <w:p>
      <w:pPr>
        <w:spacing w:after="156" w:afterLines="50" w:line="360" w:lineRule="auto"/>
        <w:ind w:firstLine="482" w:firstLineChars="200"/>
        <w:jc w:val="center"/>
        <w:rPr>
          <w:rFonts w:ascii="Times New Roman" w:hAnsi="宋体"/>
          <w:sz w:val="24"/>
          <w:szCs w:val="24"/>
        </w:rPr>
      </w:pPr>
      <w:r>
        <w:rPr>
          <w:rFonts w:ascii="Times New Roman" w:hAnsi="宋体" w:hint="eastAsia"/>
          <w:b/>
          <w:bCs/>
          <w:sz w:val="24"/>
          <w:szCs w:val="24"/>
        </w:rPr>
        <w:t xml:space="preserve">Table 8 </w:t>
      </w:r>
      <w:r>
        <w:rPr>
          <w:rFonts w:ascii="Times New Roman" w:hAnsi="宋体" w:hint="eastAsia"/>
          <w:sz w:val="24"/>
          <w:szCs w:val="24"/>
        </w:rPr>
        <w:t xml:space="preserve"> Drug-symptom second-order associations</w:t>
      </w:r>
    </w:p>
    <w:tbl>
      <w:tblPr>
        <w:tblStyleColBandSize w:val="30"/>
        <w:tblW w:w="8300" w:type="dxa"/>
        <w:jc w:val="center"/>
        <w:tblBorders>
          <w:top w:val="single"/>
          <w:left w:val="single"/>
          <w:bottom w:val="single"/>
          <w:right w:val="single"/>
          <w:insideH w:val="none" w:sz="0" w:space="0" w:color=""/>
          <w:insideV w:val="none" w:sz="0" w:space="0" w:color=""/>
        </w:tblBorders>
        <w:tblBorders>
          <w:top xsi:nil="true"/>
          <w:left xsi:nil="true"/>
          <w:bottom xsi:nil="true"/>
          <w:right xsi:nil="true"/>
        </w:tblBorders>
        <w:tblCellMar>
          <w:top w:type="dxa" w:w="0"/>
          <w:left w:type="dxa" w:w="30"/>
          <w:bottom w:type="dxa" w:w="0"/>
          <w:right w:type="dxa" w:w="30"/>
        </w:tblCellMar>
      </w:tblPr>
      <w:tr>
        <w:tc>
          <w:tcPr>
            <w:tcBorders>
              <w:top w:val="basicThinLines"/>
            </w:tcBorders>
          </w:tcPr>
          <w:tcPr>
            <w:vAlign w:val="center"/>
          </w:tcPr>
          <w:p>
            <w:pPr>
              <w:jc w:val="center"/>
            </w:pPr>
            <w:r/>
            <w:r>
              <w:rPr xsi:nil="true">
                <w:b w:val="true"/>
              </w:rPr>
              <w:t>Antecedent</w:t>
            </w:r>
          </w:p>
        </w:tc>
        <w:tc>
          <w:tcPr>
            <w:tcBorders>
              <w:top w:val="basicThinLines"/>
            </w:tcBorders>
          </w:tcPr>
          <w:tcPr>
            <w:vAlign w:val="center"/>
          </w:tcPr>
          <w:p>
            <w:pPr>
              <w:jc w:val="center"/>
            </w:pPr>
            <w:r/>
            <w:r>
              <w:rPr xsi:nil="true">
                <w:b w:val="true"/>
              </w:rPr>
              <w:t>Succedent</w:t>
            </w:r>
          </w:p>
        </w:tc>
        <w:tc>
          <w:tcPr>
            <w:tcBorders>
              <w:top w:val="basicThinLines"/>
            </w:tcBorders>
          </w:tcPr>
          <w:tcPr>
            <w:vAlign w:val="center"/>
          </w:tcPr>
          <w:p>
            <w:pPr>
              <w:jc w:val="center"/>
            </w:pPr>
            <w:r/>
            <w:r>
              <w:rPr xsi:nil="true">
                <w:b w:val="true"/>
              </w:rPr>
              <w:t>Support (%)</w:t>
            </w:r>
          </w:p>
        </w:tc>
        <w:tc>
          <w:tcPr>
            <w:tcBorders>
              <w:top w:val="basicThinLines"/>
            </w:tcBorders>
          </w:tcPr>
          <w:tcPr>
            <w:vAlign w:val="center"/>
          </w:tcPr>
          <w:p>
            <w:pPr>
              <w:jc w:val="center"/>
            </w:pPr>
            <w:r/>
            <w:r>
              <w:rPr xsi:nil="true">
                <w:b w:val="true"/>
              </w:rPr>
              <w:t>Confidence (%)</w:t>
            </w:r>
          </w:p>
        </w:tc>
        <w:tc>
          <w:tcPr>
            <w:tcBorders>
              <w:top w:val="basicThinLines"/>
            </w:tcBorders>
          </w:tcPr>
          <w:tcPr>
            <w:vAlign w:val="center"/>
          </w:tcPr>
          <w:p>
            <w:pPr>
              <w:jc w:val="center"/>
            </w:pPr>
            <w:r/>
            <w:r>
              <w:rPr xsi:nil="true">
                <w:b w:val="true"/>
              </w:rPr>
              <w:t>Lift</w:t>
            </w:r>
          </w:p>
        </w:tc>
      </w:tr>
      <w:tr>
        <w:tc>
          <w:tcPr>
            <w:tcBorders>
              <w:top w:val="basicThinLines"/>
            </w:tcBorders>
          </w:tcPr>
          <w:tcPr>
            <w:vAlign w:val="center"/>
          </w:tcPr>
          <w:p>
            <w:pPr>
              <w:jc w:val="left"/>
            </w:pPr>
            <w:r/>
            <w:r>
              <w:rPr xsi:nil="true"/>
              <w:t>Huangqi (Astragali Radix)</w:t>
            </w:r>
          </w:p>
        </w:tc>
        <w:tc>
          <w:tcPr>
            <w:tcBorders>
              <w:top w:val="basicThinLines"/>
            </w:tcBorders>
          </w:tcPr>
          <w:tcPr>
            <w:vAlign w:val="center"/>
          </w:tcPr>
          <w:p>
            <w:pPr>
              <w:jc w:val="left"/>
            </w:pPr>
            <w:r/>
            <w:r>
              <w:rPr xsi:nil="true"/>
              <w:t>Limb edema</w:t>
            </w:r>
          </w:p>
        </w:tc>
        <w:tc>
          <w:tcPr>
            <w:tcBorders>
              <w:top w:val="basicThinLines"/>
            </w:tcBorders>
          </w:tcPr>
          <w:tcPr>
            <w:vAlign w:val="center"/>
          </w:tcPr>
          <w:p>
            <w:pPr>
              <w:jc w:val="center"/>
            </w:pPr>
            <w:r/>
            <w:r>
              <w:rPr xsi:nil="true"/>
              <w:t xml:space="preserve">19.61  </w:t>
            </w:r>
          </w:p>
        </w:tc>
        <w:tc>
          <w:tcPr>
            <w:tcBorders>
              <w:top w:val="basicThinLines"/>
            </w:tcBorders>
          </w:tcPr>
          <w:tcPr>
            <w:vAlign w:val="center"/>
          </w:tcPr>
          <w:p>
            <w:pPr>
              <w:jc w:val="center"/>
            </w:pPr>
            <w:r/>
            <w:r>
              <w:rPr xsi:nil="true"/>
              <w:t>100.00</w:t>
            </w:r>
          </w:p>
        </w:tc>
        <w:tc>
          <w:tcPr>
            <w:tcBorders>
              <w:top w:val="basicThinLines"/>
            </w:tcBorders>
          </w:tcPr>
          <w:tcPr>
            <w:vAlign w:val="center"/>
          </w:tcPr>
          <w:p>
            <w:pPr>
              <w:jc w:val="center"/>
            </w:pPr>
            <w:r/>
            <w:r>
              <w:rPr xsi:nil="true"/>
              <w:t>1.96</w:t>
            </w:r>
          </w:p>
        </w:tc>
      </w:tr>
      <w:tr>
        <w:tc>
          <w:tcPr>
            <w:tcBorders/>
          </w:tcPr>
          <w:tcPr>
            <w:vAlign w:val="center"/>
          </w:tcPr>
          <w:p>
            <w:pPr>
              <w:jc w:val="left"/>
            </w:pPr>
            <w:r/>
            <w:r>
              <w:rPr xsi:nil="true"/>
              <w:t>Huanglian (Coptidis Rhizoma)</w:t>
            </w:r>
          </w:p>
        </w:tc>
        <w:tc>
          <w:tcPr>
            <w:tcBorders/>
          </w:tcPr>
          <w:tcPr>
            <w:vAlign w:val="center"/>
          </w:tcPr>
          <w:p>
            <w:pPr>
              <w:jc w:val="left"/>
            </w:pPr>
            <w:r/>
            <w:r>
              <w:rPr xsi:nil="true"/>
              <w:t>Deep and taut pulse</w:t>
            </w:r>
          </w:p>
        </w:tc>
        <w:tc>
          <w:tcPr>
            <w:tcBorders/>
          </w:tcPr>
          <w:tcPr>
            <w:vAlign w:val="center"/>
          </w:tcPr>
          <w:p>
            <w:pPr>
              <w:jc w:val="center"/>
            </w:pPr>
            <w:r/>
            <w:r>
              <w:rPr xsi:nil="true"/>
              <w:t xml:space="preserve">15.69  </w:t>
            </w:r>
          </w:p>
        </w:tc>
        <w:tc>
          <w:tcPr>
            <w:tcBorders/>
          </w:tcPr>
          <w:tcPr>
            <w:vAlign w:val="center"/>
          </w:tcPr>
          <w:p>
            <w:pPr>
              <w:jc w:val="center"/>
            </w:pPr>
            <w:r/>
            <w:r>
              <w:rPr xsi:nil="true"/>
              <w:t>100.00</w:t>
            </w:r>
          </w:p>
        </w:tc>
        <w:tc>
          <w:tcPr>
            <w:tcBorders/>
          </w:tcPr>
          <w:tcPr>
            <w:vAlign w:val="center"/>
          </w:tcPr>
          <w:p>
            <w:pPr>
              <w:jc w:val="center"/>
            </w:pPr>
            <w:r/>
            <w:r>
              <w:rPr xsi:nil="true"/>
              <w:t>1.70</w:t>
            </w:r>
          </w:p>
        </w:tc>
      </w:tr>
      <w:tr>
        <w:tc>
          <w:tcPr>
            <w:tcBorders/>
          </w:tcPr>
          <w:tcPr>
            <w:vAlign w:val="center"/>
          </w:tcPr>
          <w:p>
            <w:pPr>
              <w:jc w:val="left"/>
            </w:pPr>
            <w:r/>
            <w:r>
              <w:rPr xsi:nil="true"/>
              <w:t>Huangqi (Astragali Radix)</w:t>
            </w:r>
          </w:p>
        </w:tc>
        <w:tc>
          <w:tcPr>
            <w:tcBorders/>
          </w:tcPr>
          <w:tcPr>
            <w:vAlign w:val="center"/>
          </w:tcPr>
          <w:p>
            <w:pPr>
              <w:jc w:val="left"/>
            </w:pPr>
            <w:r/>
            <w:r>
              <w:rPr xsi:nil="true"/>
              <w:t>Blurred vision</w:t>
            </w:r>
          </w:p>
        </w:tc>
        <w:tc>
          <w:tcPr>
            <w:tcBorders/>
          </w:tcPr>
          <w:tcPr>
            <w:vAlign w:val="center"/>
          </w:tcPr>
          <w:p>
            <w:pPr>
              <w:jc w:val="center"/>
            </w:pPr>
            <w:r/>
            <w:r>
              <w:rPr xsi:nil="true"/>
              <w:t xml:space="preserve">13.73  </w:t>
            </w:r>
          </w:p>
        </w:tc>
        <w:tc>
          <w:tcPr>
            <w:tcBorders/>
          </w:tcPr>
          <w:tcPr>
            <w:vAlign w:val="center"/>
          </w:tcPr>
          <w:p>
            <w:pPr>
              <w:jc w:val="center"/>
            </w:pPr>
            <w:r/>
            <w:r>
              <w:rPr xsi:nil="true"/>
              <w:t>100.00</w:t>
            </w:r>
          </w:p>
        </w:tc>
        <w:tc>
          <w:tcPr>
            <w:tcBorders/>
          </w:tcPr>
          <w:tcPr>
            <w:vAlign w:val="center"/>
          </w:tcPr>
          <w:p>
            <w:pPr>
              <w:jc w:val="center"/>
            </w:pPr>
            <w:r/>
            <w:r>
              <w:rPr xsi:nil="true"/>
              <w:t>1.96</w:t>
            </w:r>
          </w:p>
        </w:tc>
      </w:tr>
      <w:tr>
        <w:tc>
          <w:tcPr>
            <w:tcBorders/>
          </w:tcPr>
          <w:tcPr>
            <w:vAlign w:val="center"/>
          </w:tcPr>
          <w:p>
            <w:pPr>
              <w:jc w:val="left"/>
            </w:pPr>
            <w:r/>
            <w:r>
              <w:rPr xsi:nil="true"/>
              <w:t>Huanglian (Coptidis Rhizoma)</w:t>
            </w:r>
          </w:p>
        </w:tc>
        <w:tc>
          <w:tcPr>
            <w:tcBorders/>
          </w:tcPr>
          <w:tcPr>
            <w:vAlign w:val="center"/>
          </w:tcPr>
          <w:p>
            <w:pPr>
              <w:jc w:val="left"/>
            </w:pPr>
            <w:r/>
            <w:r>
              <w:rPr xsi:nil="true"/>
              <w:t>Deep and rapid pulse</w:t>
            </w:r>
          </w:p>
        </w:tc>
        <w:tc>
          <w:tcPr>
            <w:tcBorders/>
          </w:tcPr>
          <w:tcPr>
            <w:vAlign w:val="center"/>
          </w:tcPr>
          <w:p>
            <w:pPr>
              <w:jc w:val="center"/>
            </w:pPr>
            <w:r/>
            <w:r>
              <w:rPr xsi:nil="true"/>
              <w:t xml:space="preserve">13.73  </w:t>
            </w:r>
          </w:p>
        </w:tc>
        <w:tc>
          <w:tcPr>
            <w:tcBorders/>
          </w:tcPr>
          <w:tcPr>
            <w:vAlign w:val="center"/>
          </w:tcPr>
          <w:p>
            <w:pPr>
              <w:jc w:val="center"/>
            </w:pPr>
            <w:r/>
            <w:r>
              <w:rPr xsi:nil="true"/>
              <w:t>100.00</w:t>
            </w:r>
          </w:p>
        </w:tc>
        <w:tc>
          <w:tcPr>
            <w:tcBorders/>
          </w:tcPr>
          <w:tcPr>
            <w:vAlign w:val="center"/>
          </w:tcPr>
          <w:p>
            <w:pPr>
              <w:jc w:val="center"/>
            </w:pPr>
            <w:r/>
            <w:r>
              <w:rPr xsi:nil="true"/>
              <w:t>1.70</w:t>
            </w:r>
          </w:p>
        </w:tc>
      </w:tr>
      <w:tr>
        <w:tc>
          <w:tcPr>
            <w:tcBorders/>
          </w:tcPr>
          <w:tcPr>
            <w:vAlign w:val="center"/>
          </w:tcPr>
          <w:p>
            <w:pPr>
              <w:jc w:val="left"/>
            </w:pPr>
            <w:r/>
            <w:r>
              <w:rPr xsi:nil="true"/>
              <w:t>Huanglian (Coptidis Rhizoma)</w:t>
            </w:r>
          </w:p>
        </w:tc>
        <w:tc>
          <w:tcPr>
            <w:tcBorders/>
          </w:tcPr>
          <w:tcPr>
            <w:vAlign w:val="center"/>
          </w:tcPr>
          <w:p>
            <w:pPr>
              <w:jc w:val="left"/>
            </w:pPr>
            <w:r/>
            <w:r>
              <w:rPr xsi:nil="true"/>
              <w:t>Aversion to wind and cold</w:t>
            </w:r>
          </w:p>
        </w:tc>
        <w:tc>
          <w:tcPr>
            <w:tcBorders/>
          </w:tcPr>
          <w:tcPr>
            <w:vAlign w:val="center"/>
          </w:tcPr>
          <w:p>
            <w:pPr>
              <w:jc w:val="center"/>
            </w:pPr>
            <w:r/>
            <w:r>
              <w:rPr xsi:nil="true"/>
              <w:t>7.84</w:t>
            </w:r>
          </w:p>
        </w:tc>
        <w:tc>
          <w:tcPr>
            <w:tcBorders/>
          </w:tcPr>
          <w:tcPr>
            <w:vAlign w:val="center"/>
          </w:tcPr>
          <w:p>
            <w:pPr>
              <w:jc w:val="center"/>
            </w:pPr>
            <w:r/>
            <w:r>
              <w:rPr xsi:nil="true"/>
              <w:t>100.00</w:t>
            </w:r>
          </w:p>
        </w:tc>
        <w:tc>
          <w:tcPr>
            <w:tcBorders/>
          </w:tcPr>
          <w:tcPr>
            <w:vAlign w:val="center"/>
          </w:tcPr>
          <w:p>
            <w:pPr>
              <w:jc w:val="center"/>
            </w:pPr>
            <w:r/>
            <w:r>
              <w:rPr xsi:nil="true"/>
              <w:t>1.70</w:t>
            </w:r>
          </w:p>
        </w:tc>
      </w:tr>
      <w:tr>
        <w:tc>
          <w:tcPr>
            <w:tcBorders/>
          </w:tcPr>
          <w:tcPr>
            <w:vAlign w:val="center"/>
          </w:tcPr>
          <w:p>
            <w:pPr>
              <w:jc w:val="left"/>
            </w:pPr>
            <w:r/>
            <w:r>
              <w:rPr xsi:nil="true"/>
              <w:t>Huanglian (Coptidis Rhizoma)</w:t>
            </w:r>
          </w:p>
        </w:tc>
        <w:tc>
          <w:tcPr>
            <w:tcBorders/>
          </w:tcPr>
          <w:tcPr>
            <w:vAlign w:val="center"/>
          </w:tcPr>
          <w:p>
            <w:pPr>
              <w:jc w:val="left"/>
            </w:pPr>
            <w:r/>
            <w:r>
              <w:rPr xsi:nil="true"/>
              <w:t>Hyperhidrosis</w:t>
            </w:r>
          </w:p>
        </w:tc>
        <w:tc>
          <w:tcPr>
            <w:tcBorders/>
          </w:tcPr>
          <w:tcPr>
            <w:vAlign w:val="center"/>
          </w:tcPr>
          <w:p>
            <w:pPr>
              <w:jc w:val="center"/>
            </w:pPr>
            <w:r/>
            <w:r>
              <w:rPr xsi:nil="true"/>
              <w:t>7.84</w:t>
            </w:r>
          </w:p>
        </w:tc>
        <w:tc>
          <w:tcPr>
            <w:tcBorders/>
          </w:tcPr>
          <w:tcPr>
            <w:vAlign w:val="center"/>
          </w:tcPr>
          <w:p>
            <w:pPr>
              <w:jc w:val="center"/>
            </w:pPr>
            <w:r/>
            <w:r>
              <w:rPr xsi:nil="true"/>
              <w:t>100.00</w:t>
            </w:r>
          </w:p>
        </w:tc>
        <w:tc>
          <w:tcPr>
            <w:tcBorders/>
          </w:tcPr>
          <w:tcPr>
            <w:vAlign w:val="center"/>
          </w:tcPr>
          <w:p>
            <w:pPr>
              <w:jc w:val="center"/>
            </w:pPr>
            <w:r/>
            <w:r>
              <w:rPr xsi:nil="true"/>
              <w:t>1.70</w:t>
            </w:r>
          </w:p>
        </w:tc>
      </w:tr>
      <w:tr>
        <w:tc>
          <w:tcPr>
            <w:tcBorders/>
          </w:tcPr>
          <w:tcPr>
            <w:vAlign w:val="center"/>
          </w:tcPr>
          <w:p>
            <w:pPr>
              <w:jc w:val="left"/>
            </w:pPr>
            <w:r/>
            <w:r>
              <w:rPr xsi:nil="true"/>
              <w:t>Huanglian (Coptidis Rhizoma)</w:t>
            </w:r>
          </w:p>
        </w:tc>
        <w:tc>
          <w:tcPr>
            <w:tcBorders/>
          </w:tcPr>
          <w:tcPr>
            <w:vAlign w:val="center"/>
          </w:tcPr>
          <w:p>
            <w:pPr>
              <w:jc w:val="left"/>
            </w:pPr>
            <w:r/>
            <w:r>
              <w:rPr xsi:nil="true"/>
              <w:t>Tongue with thin and yellow coating</w:t>
            </w:r>
          </w:p>
        </w:tc>
        <w:tc>
          <w:tcPr>
            <w:tcBorders/>
          </w:tcPr>
          <w:tcPr>
            <w:vAlign w:val="center"/>
          </w:tcPr>
          <w:p>
            <w:pPr>
              <w:jc w:val="center"/>
            </w:pPr>
            <w:r/>
            <w:r>
              <w:rPr xsi:nil="true"/>
              <w:t>5.88</w:t>
            </w:r>
          </w:p>
        </w:tc>
        <w:tc>
          <w:tcPr>
            <w:tcBorders/>
          </w:tcPr>
          <w:tcPr>
            <w:vAlign w:val="center"/>
          </w:tcPr>
          <w:p>
            <w:pPr>
              <w:jc w:val="center"/>
            </w:pPr>
            <w:r/>
            <w:r>
              <w:rPr xsi:nil="true"/>
              <w:t>100.00</w:t>
            </w:r>
          </w:p>
        </w:tc>
        <w:tc>
          <w:tcPr>
            <w:tcBorders/>
          </w:tcPr>
          <w:tcPr>
            <w:vAlign w:val="center"/>
          </w:tcPr>
          <w:p>
            <w:pPr>
              <w:jc w:val="center"/>
            </w:pPr>
            <w:r/>
            <w:r>
              <w:rPr xsi:nil="true"/>
              <w:t>1.70</w:t>
            </w:r>
          </w:p>
        </w:tc>
      </w:tr>
      <w:tr>
        <w:tc>
          <w:tcPr>
            <w:tcBorders>
              <w:bottom w:val="basicThinLines"/>
            </w:tcBorders>
          </w:tcPr>
          <w:tcPr>
            <w:vAlign w:val="center"/>
          </w:tcPr>
          <w:p>
            <w:pPr>
              <w:jc w:val="left"/>
            </w:pPr>
            <w:r/>
            <w:r>
              <w:rPr xsi:nil="true"/>
              <w:t>Huanglian (Coptidis Rhizoma)</w:t>
            </w:r>
          </w:p>
        </w:tc>
        <w:tc>
          <w:tcPr>
            <w:tcBorders>
              <w:bottom w:val="basicThinLines"/>
            </w:tcBorders>
          </w:tcPr>
          <w:tcPr>
            <w:vAlign w:val="center"/>
          </w:tcPr>
          <w:p>
            <w:pPr>
              <w:jc w:val="left"/>
            </w:pPr>
            <w:r/>
            <w:r>
              <w:rPr xsi:nil="true"/>
              <w:t>Deep and thready pulse</w:t>
            </w:r>
          </w:p>
        </w:tc>
        <w:tc>
          <w:tcPr>
            <w:tcBorders>
              <w:bottom w:val="basicThinLines"/>
            </w:tcBorders>
          </w:tcPr>
          <w:tcPr>
            <w:vAlign w:val="center"/>
          </w:tcPr>
          <w:p>
            <w:pPr>
              <w:jc w:val="center"/>
            </w:pPr>
            <w:r/>
            <w:r>
              <w:rPr xsi:nil="true"/>
              <w:t>5.88</w:t>
            </w:r>
          </w:p>
        </w:tc>
        <w:tc>
          <w:tcPr>
            <w:tcBorders>
              <w:bottom w:val="basicThinLines"/>
            </w:tcBorders>
          </w:tcPr>
          <w:tcPr>
            <w:vAlign w:val="center"/>
          </w:tcPr>
          <w:p>
            <w:pPr>
              <w:jc w:val="center"/>
            </w:pPr>
            <w:r/>
            <w:r>
              <w:rPr xsi:nil="true"/>
              <w:t>100.00</w:t>
            </w:r>
          </w:p>
        </w:tc>
        <w:tc>
          <w:tcPr>
            <w:tcBorders>
              <w:bottom w:val="basicThinLines"/>
            </w:tcBorders>
          </w:tcPr>
          <w:tcPr>
            <w:vAlign w:val="center"/>
          </w:tcPr>
          <w:p>
            <w:pPr>
              <w:jc w:val="center"/>
            </w:pPr>
            <w:r/>
            <w:r>
              <w:rPr xsi:nil="true"/>
              <w:t>1.70</w:t>
            </w:r>
          </w:p>
        </w:tc>
      </w:tr>
    </w:tbl>
    <w:p>
      <w:pPr>
        <w:ind w:firstLine="420"/>
        <w:rPr>
          <w:rFonts w:ascii="Times New Roman" w:hAnsi="宋体"/>
          <w:sz w:val="24"/>
          <w:szCs w:val="24"/>
        </w:rPr>
      </w:pPr>
    </w:p>
    <w:p>
      <w:pPr>
        <w:ind w:firstLine="480" w:firstLineChars="200"/>
        <w:rPr>
          <w:rFonts w:ascii="Times New Roman" w:hAnsi="宋体"/>
          <w:sz w:val="24"/>
          <w:szCs w:val="24"/>
        </w:rPr>
      </w:pPr>
    </w:p>
    <w:p>
      <w:pPr>
        <w:spacing w:after="156" w:afterLines="50" w:line="360" w:lineRule="auto"/>
        <w:ind w:firstLine="482" w:firstLineChars="200"/>
        <w:jc w:val="center"/>
        <w:rPr>
          <w:rFonts w:ascii="Times New Roman" w:hAnsi="宋体"/>
          <w:sz w:val="24"/>
          <w:szCs w:val="24"/>
        </w:rPr>
      </w:pPr>
      <w:r>
        <w:rPr>
          <w:rFonts w:ascii="Times New Roman" w:hAnsi="宋体" w:hint="eastAsia"/>
          <w:b/>
          <w:bCs/>
          <w:sz w:val="24"/>
          <w:szCs w:val="24"/>
        </w:rPr>
        <w:t xml:space="preserve">Table 9 </w:t>
      </w:r>
      <w:r>
        <w:rPr>
          <w:rFonts w:ascii="Times New Roman" w:hAnsi="宋体" w:hint="eastAsia"/>
          <w:sz w:val="24"/>
          <w:szCs w:val="24"/>
        </w:rPr>
        <w:t xml:space="preserve"> Drug-symptom third-order associations</w:t>
      </w:r>
    </w:p>
    <w:tbl>
      <w:tblPr>
        <w:tblStyleColBandSize w:val="30"/>
        <w:tblW w:w="8300" w:type="dxa"/>
        <w:jc w:val="center"/>
        <w:tblBorders>
          <w:top w:val="single"/>
          <w:left w:val="single"/>
          <w:bottom w:val="single"/>
          <w:right w:val="single"/>
          <w:insideH w:val="none" w:sz="0" w:space="0" w:color=""/>
          <w:insideV w:val="none" w:sz="0" w:space="0" w:color=""/>
        </w:tblBorders>
        <w:tblBorders>
          <w:top xsi:nil="true"/>
          <w:left xsi:nil="true"/>
          <w:bottom xsi:nil="true"/>
          <w:right xsi:nil="true"/>
        </w:tblBorders>
        <w:tblCellMar>
          <w:top w:type="dxa" w:w="0"/>
          <w:left w:type="dxa" w:w="30"/>
          <w:bottom w:type="dxa" w:w="0"/>
          <w:right w:type="dxa" w:w="30"/>
        </w:tblCellMar>
      </w:tblPr>
      <w:tr>
        <w:tc>
          <w:tcPr>
            <w:tcBorders>
              <w:top w:val="basicThinLines"/>
            </w:tcBorders>
          </w:tcPr>
          <w:tcPr>
            <w:vAlign w:val="top"/>
          </w:tcPr>
          <w:p>
            <w:pPr>
              <w:jc w:val="center"/>
            </w:pPr>
            <w:r/>
            <w:r>
              <w:rPr xsi:nil="true">
                <w:b w:val="true"/>
              </w:rPr>
              <w:t>Antecedent</w:t>
            </w:r>
          </w:p>
        </w:tc>
        <w:tc>
          <w:tcPr>
            <w:tcBorders>
              <w:top w:val="basicThinLines"/>
            </w:tcBorders>
          </w:tcPr>
          <w:tcPr>
            <w:vAlign w:val="top"/>
          </w:tcPr>
          <w:p>
            <w:pPr>
              <w:jc w:val="center"/>
            </w:pPr>
            <w:r/>
            <w:r>
              <w:rPr xsi:nil="true">
                <w:b w:val="true"/>
              </w:rPr>
              <w:t>Succedent</w:t>
            </w:r>
          </w:p>
        </w:tc>
        <w:tc>
          <w:tcPr>
            <w:tcBorders>
              <w:top w:val="basicThinLines"/>
            </w:tcBorders>
          </w:tcPr>
          <w:tcPr>
            <w:vAlign w:val="top"/>
          </w:tcPr>
          <w:p>
            <w:pPr>
              <w:jc w:val="center"/>
            </w:pPr>
            <w:r/>
            <w:r>
              <w:rPr xsi:nil="true">
                <w:b w:val="true"/>
              </w:rPr>
              <w:t>Support (%)</w:t>
            </w:r>
          </w:p>
        </w:tc>
        <w:tc>
          <w:tcPr>
            <w:tcBorders>
              <w:top w:val="basicThinLines"/>
            </w:tcBorders>
          </w:tcPr>
          <w:tcPr>
            <w:vAlign w:val="top"/>
          </w:tcPr>
          <w:p>
            <w:pPr>
              <w:jc w:val="center"/>
            </w:pPr>
            <w:r/>
            <w:r>
              <w:rPr xsi:nil="true">
                <w:b w:val="true"/>
              </w:rPr>
              <w:t>Confidence (%)</w:t>
            </w:r>
          </w:p>
        </w:tc>
        <w:tc>
          <w:tcPr>
            <w:tcBorders>
              <w:top w:val="basicThinLines"/>
            </w:tcBorders>
          </w:tcPr>
          <w:tcPr>
            <w:vAlign w:val="top"/>
          </w:tcPr>
          <w:p>
            <w:pPr>
              <w:jc w:val="center"/>
            </w:pPr>
            <w:r/>
            <w:r>
              <w:rPr xsi:nil="true">
                <w:b w:val="true"/>
              </w:rPr>
              <w:t>Lift</w:t>
            </w:r>
          </w:p>
        </w:tc>
      </w:tr>
      <w:tr>
        <w:tc>
          <w:tcPr>
            <w:tcBorders>
              <w:top w:val="basicThinLines"/>
            </w:tcBorders>
          </w:tcPr>
          <w:tcPr>
            <w:vAlign w:val="top"/>
          </w:tcPr>
          <w:p>
            <w:pPr>
              <w:jc w:val="left"/>
            </w:pPr>
            <w:r/>
            <w:r>
              <w:rPr xsi:nil="true"/>
              <w:t>Guizhi (Cinnamomi Ramulus) + Jixueteng (Spatholobi Caulis)</w:t>
            </w:r>
          </w:p>
        </w:tc>
        <w:tc>
          <w:tcPr>
            <w:tcBorders>
              <w:top w:val="basicThinLines"/>
            </w:tcBorders>
          </w:tcPr>
          <w:tcPr>
            <w:vAlign w:val="top"/>
          </w:tcPr>
          <w:p>
            <w:pPr>
              <w:jc w:val="left"/>
            </w:pPr>
            <w:r/>
            <w:r>
              <w:rPr xsi:nil="true"/>
              <w:t>Limb numbness and pain</w:t>
            </w:r>
          </w:p>
        </w:tc>
        <w:tc>
          <w:tcPr>
            <w:tcBorders>
              <w:top w:val="basicThinLines"/>
            </w:tcBorders>
          </w:tcPr>
          <w:tcPr>
            <w:vAlign w:val="top"/>
          </w:tcPr>
          <w:p>
            <w:pPr>
              <w:jc w:val="center"/>
            </w:pPr>
            <w:r/>
            <w:r>
              <w:rPr xsi:nil="true"/>
              <w:t xml:space="preserve">23.53 </w:t>
            </w:r>
          </w:p>
        </w:tc>
        <w:tc>
          <w:tcPr>
            <w:tcBorders>
              <w:top w:val="basicThinLines"/>
            </w:tcBorders>
          </w:tcPr>
          <w:tcPr>
            <w:vAlign w:val="top"/>
          </w:tcPr>
          <w:p>
            <w:pPr>
              <w:jc w:val="center"/>
            </w:pPr>
            <w:r/>
            <w:r>
              <w:rPr xsi:nil="true"/>
              <w:t>100</w:t>
            </w:r>
          </w:p>
        </w:tc>
        <w:tc>
          <w:tcPr>
            <w:tcBorders>
              <w:top w:val="basicThinLines"/>
            </w:tcBorders>
          </w:tcPr>
          <w:tcPr>
            <w:vAlign w:val="top"/>
          </w:tcPr>
          <w:p>
            <w:pPr>
              <w:jc w:val="center"/>
            </w:pPr>
            <w:r/>
            <w:r>
              <w:rPr xsi:nil="true"/>
              <w:t>2.04</w:t>
            </w:r>
          </w:p>
        </w:tc>
      </w:tr>
      <w:tr>
        <w:tc>
          <w:tcPr>
            <w:tcBorders/>
          </w:tcPr>
          <w:tcPr>
            <w:vAlign w:val="top"/>
          </w:tcPr>
          <w:p>
            <w:pPr>
              <w:jc w:val="left"/>
            </w:pPr>
            <w:r/>
            <w:r>
              <w:rPr xsi:nil="true"/>
              <w:t>Jixueteng (Spatholobi Caulis) + Huangqi (Astragali Radix)</w:t>
            </w:r>
          </w:p>
        </w:tc>
        <w:tc>
          <w:tcPr>
            <w:tcBorders/>
          </w:tcPr>
          <w:tcPr>
            <w:vAlign w:val="top"/>
          </w:tcPr>
          <w:p>
            <w:pPr>
              <w:jc w:val="left"/>
            </w:pPr>
            <w:r/>
            <w:r>
              <w:rPr xsi:nil="true"/>
              <w:t>Limb numbness and pain</w:t>
            </w:r>
          </w:p>
        </w:tc>
        <w:tc>
          <w:tcPr>
            <w:tcBorders/>
          </w:tcPr>
          <w:tcPr>
            <w:vAlign w:val="top"/>
          </w:tcPr>
          <w:p>
            <w:pPr>
              <w:jc w:val="center"/>
            </w:pPr>
            <w:r/>
            <w:r>
              <w:rPr xsi:nil="true"/>
              <w:t xml:space="preserve">23.53 </w:t>
            </w:r>
          </w:p>
        </w:tc>
        <w:tc>
          <w:tcPr>
            <w:tcBorders/>
          </w:tcPr>
          <w:tcPr>
            <w:vAlign w:val="top"/>
          </w:tcPr>
          <w:p>
            <w:pPr>
              <w:jc w:val="center"/>
            </w:pPr>
            <w:r/>
            <w:r>
              <w:rPr xsi:nil="true"/>
              <w:t>100</w:t>
            </w:r>
          </w:p>
        </w:tc>
        <w:tc>
          <w:tcPr>
            <w:tcBorders/>
          </w:tcPr>
          <w:tcPr>
            <w:vAlign w:val="top"/>
          </w:tcPr>
          <w:p>
            <w:pPr>
              <w:jc w:val="center"/>
            </w:pPr>
            <w:r/>
            <w:r>
              <w:rPr xsi:nil="true"/>
              <w:t>2.04</w:t>
            </w:r>
          </w:p>
        </w:tc>
      </w:tr>
      <w:tr>
        <w:tc>
          <w:tcPr>
            <w:tcBorders/>
          </w:tcPr>
          <w:tcPr>
            <w:vAlign w:val="top"/>
          </w:tcPr>
          <w:p>
            <w:pPr>
              <w:jc w:val="left"/>
            </w:pPr>
            <w:r/>
            <w:r>
              <w:rPr xsi:nil="true"/>
              <w:t>Guizhi (Cinnamomi Ramulus) + Huangqi (Astragali Radix)</w:t>
            </w:r>
          </w:p>
        </w:tc>
        <w:tc>
          <w:tcPr>
            <w:tcBorders/>
          </w:tcPr>
          <w:tcPr>
            <w:vAlign w:val="top"/>
          </w:tcPr>
          <w:p>
            <w:pPr>
              <w:jc w:val="left"/>
            </w:pPr>
            <w:r/>
            <w:r>
              <w:rPr xsi:nil="true"/>
              <w:t>Limb numbness and pain</w:t>
            </w:r>
          </w:p>
        </w:tc>
        <w:tc>
          <w:tcPr>
            <w:tcBorders/>
          </w:tcPr>
          <w:tcPr>
            <w:vAlign w:val="top"/>
          </w:tcPr>
          <w:p>
            <w:pPr>
              <w:jc w:val="center"/>
            </w:pPr>
            <w:r/>
            <w:r>
              <w:rPr xsi:nil="true"/>
              <w:t xml:space="preserve">21.57 </w:t>
            </w:r>
          </w:p>
        </w:tc>
        <w:tc>
          <w:tcPr>
            <w:tcBorders/>
          </w:tcPr>
          <w:tcPr>
            <w:vAlign w:val="top"/>
          </w:tcPr>
          <w:p>
            <w:pPr>
              <w:jc w:val="center"/>
            </w:pPr>
            <w:r/>
            <w:r>
              <w:rPr xsi:nil="true"/>
              <w:t>100</w:t>
            </w:r>
          </w:p>
        </w:tc>
        <w:tc>
          <w:tcPr>
            <w:tcBorders/>
          </w:tcPr>
          <w:tcPr>
            <w:vAlign w:val="top"/>
          </w:tcPr>
          <w:p>
            <w:pPr>
              <w:jc w:val="center"/>
            </w:pPr>
            <w:r/>
            <w:r>
              <w:rPr xsi:nil="true"/>
              <w:t>2.04</w:t>
            </w:r>
          </w:p>
        </w:tc>
      </w:tr>
      <w:tr>
        <w:tc>
          <w:tcPr>
            <w:tcBorders/>
          </w:tcPr>
          <w:tcPr>
            <w:vAlign w:val="top"/>
          </w:tcPr>
          <w:p>
            <w:pPr>
              <w:jc w:val="left"/>
            </w:pPr>
            <w:r/>
            <w:r>
              <w:rPr xsi:nil="true"/>
              <w:t>Jiugancao (Wine-processed Glycyrrhizae Radix et Rhizoma) +Zhichuanwu (Aconiti Radix Cocta)</w:t>
            </w:r>
          </w:p>
        </w:tc>
        <w:tc>
          <w:tcPr>
            <w:tcBorders/>
          </w:tcPr>
          <w:tcPr>
            <w:vAlign w:val="top"/>
          </w:tcPr>
          <w:p>
            <w:pPr>
              <w:jc w:val="left"/>
            </w:pPr>
            <w:r/>
            <w:r>
              <w:rPr xsi:nil="true"/>
              <w:t>Cold limbs</w:t>
            </w:r>
          </w:p>
        </w:tc>
        <w:tc>
          <w:tcPr>
            <w:tcBorders/>
          </w:tcPr>
          <w:tcPr>
            <w:vAlign w:val="top"/>
          </w:tcPr>
          <w:p>
            <w:pPr>
              <w:jc w:val="center"/>
            </w:pPr>
            <w:r/>
            <w:r>
              <w:rPr xsi:nil="true"/>
              <w:t>5.88</w:t>
            </w:r>
          </w:p>
        </w:tc>
        <w:tc>
          <w:tcPr>
            <w:tcBorders/>
          </w:tcPr>
          <w:tcPr>
            <w:vAlign w:val="top"/>
          </w:tcPr>
          <w:p>
            <w:pPr>
              <w:jc w:val="center"/>
            </w:pPr>
            <w:r/>
            <w:r>
              <w:rPr xsi:nil="true"/>
              <w:t>100</w:t>
            </w:r>
          </w:p>
        </w:tc>
        <w:tc>
          <w:tcPr>
            <w:tcBorders/>
          </w:tcPr>
          <w:tcPr>
            <w:vAlign w:val="top"/>
          </w:tcPr>
          <w:p>
            <w:pPr>
              <w:jc w:val="center"/>
            </w:pPr>
            <w:r/>
            <w:r>
              <w:rPr xsi:nil="true"/>
              <w:t>3.00</w:t>
            </w:r>
          </w:p>
        </w:tc>
      </w:tr>
      <w:tr>
        <w:tc>
          <w:tcPr>
            <w:tcBorders/>
          </w:tcPr>
          <w:tcPr>
            <w:vAlign w:val="top"/>
          </w:tcPr>
          <w:p>
            <w:pPr>
              <w:jc w:val="left"/>
            </w:pPr>
            <w:r/>
            <w:r>
              <w:rPr xsi:nil="true"/>
              <w:t>Jiugancao (Wine-processed Glycyrrhizae Radix et Rhizoma) +Guizhi (Cinnamomi Ramulus)</w:t>
            </w:r>
          </w:p>
        </w:tc>
        <w:tc>
          <w:tcPr>
            <w:tcBorders/>
          </w:tcPr>
          <w:tcPr>
            <w:vAlign w:val="top"/>
          </w:tcPr>
          <w:p>
            <w:pPr>
              <w:jc w:val="left"/>
            </w:pPr>
            <w:r/>
            <w:r>
              <w:rPr xsi:nil="true"/>
              <w:t>Cold limbs</w:t>
            </w:r>
          </w:p>
        </w:tc>
        <w:tc>
          <w:tcPr>
            <w:tcBorders/>
          </w:tcPr>
          <w:tcPr>
            <w:vAlign w:val="top"/>
          </w:tcPr>
          <w:p>
            <w:pPr>
              <w:jc w:val="center"/>
            </w:pPr>
            <w:r/>
            <w:r>
              <w:rPr xsi:nil="true"/>
              <w:t>5.88</w:t>
            </w:r>
          </w:p>
        </w:tc>
        <w:tc>
          <w:tcPr>
            <w:tcBorders/>
          </w:tcPr>
          <w:tcPr>
            <w:vAlign w:val="top"/>
          </w:tcPr>
          <w:p>
            <w:pPr>
              <w:jc w:val="center"/>
            </w:pPr>
            <w:r/>
            <w:r>
              <w:rPr xsi:nil="true"/>
              <w:t>100</w:t>
            </w:r>
          </w:p>
        </w:tc>
        <w:tc>
          <w:tcPr>
            <w:tcBorders/>
          </w:tcPr>
          <w:tcPr>
            <w:vAlign w:val="top"/>
          </w:tcPr>
          <w:p>
            <w:pPr>
              <w:jc w:val="center"/>
            </w:pPr>
            <w:r/>
            <w:r>
              <w:rPr xsi:nil="true"/>
              <w:t>3.00</w:t>
            </w:r>
          </w:p>
        </w:tc>
      </w:tr>
      <w:tr>
        <w:tc>
          <w:tcPr>
            <w:tcBorders/>
          </w:tcPr>
          <w:tcPr>
            <w:vAlign w:val="top"/>
          </w:tcPr>
          <w:p>
            <w:pPr>
              <w:jc w:val="left"/>
            </w:pPr>
            <w:r/>
            <w:r>
              <w:rPr xsi:nil="true"/>
              <w:t>Jiugancao (Wine-processed Glycyrrhizae Radix et Rhizoma) +Jixueteng (Spatholobi Caulis)</w:t>
            </w:r>
          </w:p>
        </w:tc>
        <w:tc>
          <w:tcPr>
            <w:tcBorders/>
          </w:tcPr>
          <w:tcPr>
            <w:vAlign w:val="top"/>
          </w:tcPr>
          <w:p>
            <w:pPr>
              <w:jc w:val="left"/>
            </w:pPr>
            <w:r/>
            <w:r>
              <w:rPr xsi:nil="true"/>
              <w:t>Cold limbs</w:t>
            </w:r>
          </w:p>
        </w:tc>
        <w:tc>
          <w:tcPr>
            <w:tcBorders/>
          </w:tcPr>
          <w:tcPr>
            <w:vAlign w:val="top"/>
          </w:tcPr>
          <w:p>
            <w:pPr>
              <w:jc w:val="center"/>
            </w:pPr>
            <w:r/>
            <w:r>
              <w:rPr xsi:nil="true"/>
              <w:t>5.88</w:t>
            </w:r>
          </w:p>
        </w:tc>
        <w:tc>
          <w:tcPr>
            <w:tcBorders/>
          </w:tcPr>
          <w:tcPr>
            <w:vAlign w:val="top"/>
          </w:tcPr>
          <w:p>
            <w:pPr>
              <w:jc w:val="center"/>
            </w:pPr>
            <w:r/>
            <w:r>
              <w:rPr xsi:nil="true"/>
              <w:t>100</w:t>
            </w:r>
          </w:p>
        </w:tc>
        <w:tc>
          <w:tcPr>
            <w:tcBorders/>
          </w:tcPr>
          <w:tcPr>
            <w:vAlign w:val="top"/>
          </w:tcPr>
          <w:p>
            <w:pPr>
              <w:jc w:val="center"/>
            </w:pPr>
            <w:r/>
            <w:r>
              <w:rPr xsi:nil="true"/>
              <w:t>3.00</w:t>
            </w:r>
          </w:p>
        </w:tc>
      </w:tr>
      <w:tr>
        <w:tc>
          <w:tcPr>
            <w:tcBorders>
              <w:top w:val="basicThinLines"/>
            </w:tcBorders>
          </w:tcPr>
          <w:tcPr>
            <w:vAlign w:val="top"/>
          </w:tcPr>
          <w:p>
            <w:pPr>
              <w:jc w:val="left"/>
            </w:pPr>
            <w:r/>
            <w:r>
              <w:rPr xsi:nil="true"/>
              <w:t>Zhimu (Anemarrhenae Rhizoma) + Huanglian (Coptidis Rhizoma)</w:t>
            </w:r>
          </w:p>
        </w:tc>
        <w:tc>
          <w:tcPr>
            <w:tcBorders>
              <w:top w:val="basicThinLines"/>
            </w:tcBorders>
          </w:tcPr>
          <w:tcPr>
            <w:vAlign w:val="top"/>
          </w:tcPr>
          <w:p>
            <w:pPr>
              <w:jc w:val="left"/>
            </w:pPr>
            <w:r/>
            <w:r>
              <w:rPr xsi:nil="true"/>
              <w:t>Fatigue</w:t>
            </w:r>
          </w:p>
        </w:tc>
        <w:tc>
          <w:tcPr>
            <w:tcBorders>
              <w:top w:val="basicThinLines"/>
            </w:tcBorders>
          </w:tcPr>
          <w:tcPr>
            <w:vAlign w:val="top"/>
          </w:tcPr>
          <w:p>
            <w:pPr>
              <w:jc w:val="center"/>
            </w:pPr>
            <w:r/>
            <w:r>
              <w:rPr xsi:nil="true"/>
              <w:t>9.80</w:t>
            </w:r>
          </w:p>
        </w:tc>
        <w:tc>
          <w:tcPr>
            <w:tcBorders>
              <w:top w:val="basicThinLines"/>
            </w:tcBorders>
          </w:tcPr>
          <w:tcPr>
            <w:vAlign w:val="top"/>
          </w:tcPr>
          <w:p>
            <w:pPr>
              <w:jc w:val="center"/>
            </w:pPr>
            <w:r/>
            <w:r>
              <w:rPr xsi:nil="true"/>
              <w:t>100</w:t>
            </w:r>
          </w:p>
        </w:tc>
        <w:tc>
          <w:tcPr>
            <w:tcBorders>
              <w:top w:val="basicThinLines"/>
            </w:tcBorders>
          </w:tcPr>
          <w:tcPr>
            <w:vAlign w:val="top"/>
          </w:tcPr>
          <w:p>
            <w:pPr>
              <w:jc w:val="center"/>
            </w:pPr>
            <w:r/>
            <w:r>
              <w:rPr xsi:nil="true"/>
              <w:t>2.68</w:t>
            </w:r>
          </w:p>
        </w:tc>
      </w:tr>
      <w:tr>
        <w:tc>
          <w:tcPr>
            <w:tcBorders/>
          </w:tcPr>
          <w:tcPr>
            <w:vAlign w:val="top"/>
          </w:tcPr>
          <w:p>
            <w:pPr>
              <w:jc w:val="left"/>
            </w:pPr>
            <w:r/>
            <w:r>
              <w:rPr xsi:nil="true"/>
              <w:t>Zexie (Alismatis Rhizoma) + Shuizhifen (Hirudo powder)</w:t>
            </w:r>
          </w:p>
        </w:tc>
        <w:tc>
          <w:tcPr>
            <w:tcBorders/>
          </w:tcPr>
          <w:tcPr>
            <w:vAlign w:val="top"/>
          </w:tcPr>
          <w:p>
            <w:pPr>
              <w:jc w:val="left"/>
            </w:pPr>
            <w:r/>
            <w:r>
              <w:rPr xsi:nil="true"/>
              <w:t>Fatigue</w:t>
            </w:r>
          </w:p>
        </w:tc>
        <w:tc>
          <w:tcPr>
            <w:tcBorders/>
          </w:tcPr>
          <w:tcPr>
            <w:vAlign w:val="top"/>
          </w:tcPr>
          <w:p>
            <w:pPr>
              <w:jc w:val="center"/>
            </w:pPr>
            <w:r/>
            <w:r>
              <w:rPr xsi:nil="true"/>
              <w:t>7.84</w:t>
            </w:r>
          </w:p>
        </w:tc>
        <w:tc>
          <w:tcPr>
            <w:tcBorders/>
          </w:tcPr>
          <w:tcPr>
            <w:vAlign w:val="top"/>
          </w:tcPr>
          <w:p>
            <w:pPr>
              <w:jc w:val="center"/>
            </w:pPr>
            <w:r/>
            <w:r>
              <w:rPr xsi:nil="true"/>
              <w:t>100</w:t>
            </w:r>
          </w:p>
        </w:tc>
        <w:tc>
          <w:tcPr>
            <w:tcBorders/>
          </w:tcPr>
          <w:tcPr>
            <w:vAlign w:val="top"/>
          </w:tcPr>
          <w:p>
            <w:pPr>
              <w:jc w:val="center"/>
            </w:pPr>
            <w:r/>
            <w:r>
              <w:rPr xsi:nil="true"/>
              <w:t>2.68</w:t>
            </w:r>
          </w:p>
        </w:tc>
      </w:tr>
      <w:tr>
        <w:tc>
          <w:tcPr>
            <w:tcBorders/>
          </w:tcPr>
          <w:tcPr>
            <w:vAlign w:val="top"/>
          </w:tcPr>
          <w:p>
            <w:pPr>
              <w:jc w:val="left"/>
            </w:pPr>
            <w:r/>
            <w:r>
              <w:rPr xsi:nil="true"/>
              <w:t>Zexie (Alismatis Rhizoma) + Jiudahuang (Wine-processed Rhei Radix et Rhizoma)</w:t>
            </w:r>
          </w:p>
        </w:tc>
        <w:tc>
          <w:tcPr>
            <w:tcBorders/>
          </w:tcPr>
          <w:tcPr>
            <w:vAlign w:val="top"/>
          </w:tcPr>
          <w:p>
            <w:pPr>
              <w:jc w:val="left"/>
            </w:pPr>
            <w:r/>
            <w:r>
              <w:rPr xsi:nil="true"/>
              <w:t>Fatigue</w:t>
            </w:r>
          </w:p>
        </w:tc>
        <w:tc>
          <w:tcPr>
            <w:tcBorders/>
          </w:tcPr>
          <w:tcPr>
            <w:vAlign w:val="top"/>
          </w:tcPr>
          <w:p>
            <w:pPr>
              <w:jc w:val="center"/>
            </w:pPr>
            <w:r/>
            <w:r>
              <w:rPr xsi:nil="true"/>
              <w:t>7.84</w:t>
            </w:r>
          </w:p>
        </w:tc>
        <w:tc>
          <w:tcPr>
            <w:tcBorders/>
          </w:tcPr>
          <w:tcPr>
            <w:vAlign w:val="top"/>
          </w:tcPr>
          <w:p>
            <w:pPr>
              <w:jc w:val="center"/>
            </w:pPr>
            <w:r/>
            <w:r>
              <w:rPr xsi:nil="true"/>
              <w:t>100</w:t>
            </w:r>
          </w:p>
        </w:tc>
        <w:tc>
          <w:tcPr>
            <w:tcBorders/>
          </w:tcPr>
          <w:tcPr>
            <w:vAlign w:val="top"/>
          </w:tcPr>
          <w:p>
            <w:pPr>
              <w:jc w:val="center"/>
            </w:pPr>
            <w:r/>
            <w:r>
              <w:rPr xsi:nil="true"/>
              <w:t>2.68</w:t>
            </w:r>
          </w:p>
        </w:tc>
      </w:tr>
      <w:tr>
        <w:tc>
          <w:tcPr>
            <w:tcBorders/>
          </w:tcPr>
          <w:tcPr>
            <w:vAlign w:val="top"/>
          </w:tcPr>
          <w:p>
            <w:pPr>
              <w:jc w:val="left"/>
            </w:pPr>
            <w:r/>
            <w:r>
              <w:rPr xsi:nil="true"/>
              <w:t>Zexie (Alismatis Rhizoma) + Huangqi (Astragali Radix)</w:t>
            </w:r>
          </w:p>
        </w:tc>
        <w:tc>
          <w:tcPr>
            <w:tcBorders/>
          </w:tcPr>
          <w:tcPr>
            <w:vAlign w:val="top"/>
          </w:tcPr>
          <w:p>
            <w:pPr>
              <w:jc w:val="left"/>
            </w:pPr>
            <w:r/>
            <w:r>
              <w:rPr xsi:nil="true"/>
              <w:t>Fatigue</w:t>
            </w:r>
          </w:p>
        </w:tc>
        <w:tc>
          <w:tcPr>
            <w:tcBorders/>
          </w:tcPr>
          <w:tcPr>
            <w:vAlign w:val="top"/>
          </w:tcPr>
          <w:p>
            <w:pPr>
              <w:jc w:val="center"/>
            </w:pPr>
            <w:r/>
            <w:r>
              <w:rPr xsi:nil="true"/>
              <w:t>7.84</w:t>
            </w:r>
          </w:p>
        </w:tc>
        <w:tc>
          <w:tcPr>
            <w:tcBorders/>
          </w:tcPr>
          <w:tcPr>
            <w:vAlign w:val="top"/>
          </w:tcPr>
          <w:p>
            <w:pPr>
              <w:jc w:val="center"/>
            </w:pPr>
            <w:r/>
            <w:r>
              <w:rPr xsi:nil="true"/>
              <w:t>100</w:t>
            </w:r>
          </w:p>
        </w:tc>
        <w:tc>
          <w:tcPr>
            <w:tcBorders/>
          </w:tcPr>
          <w:tcPr>
            <w:vAlign w:val="top"/>
          </w:tcPr>
          <w:p>
            <w:pPr>
              <w:jc w:val="center"/>
            </w:pPr>
            <w:r/>
            <w:r>
              <w:rPr xsi:nil="true"/>
              <w:t>2.68</w:t>
            </w:r>
          </w:p>
        </w:tc>
      </w:tr>
      <w:tr>
        <w:tc>
          <w:tcPr>
            <w:tcBorders/>
          </w:tcPr>
          <w:tcPr>
            <w:vAlign w:val="top"/>
          </w:tcPr>
          <w:p>
            <w:pPr>
              <w:jc w:val="left"/>
            </w:pPr>
            <w:r/>
            <w:r>
              <w:rPr xsi:nil="true"/>
              <w:t>Chaosuanzaoren (Parched Ziziphi Spinosae Semen) +Duanlonggu (Fossilia Ossia Mastodi)</w:t>
            </w:r>
          </w:p>
        </w:tc>
        <w:tc>
          <w:tcPr>
            <w:tcBorders/>
          </w:tcPr>
          <w:tcPr>
            <w:vAlign w:val="top"/>
          </w:tcPr>
          <w:p>
            <w:pPr>
              <w:jc w:val="left"/>
            </w:pPr>
            <w:r/>
            <w:r>
              <w:rPr xsi:nil="true"/>
              <w:t>Insomnia</w:t>
            </w:r>
          </w:p>
        </w:tc>
        <w:tc>
          <w:tcPr>
            <w:tcBorders/>
          </w:tcPr>
          <w:tcPr>
            <w:vAlign w:val="top"/>
          </w:tcPr>
          <w:p>
            <w:pPr>
              <w:jc w:val="center"/>
            </w:pPr>
            <w:r/>
            <w:r>
              <w:rPr xsi:nil="true"/>
              <w:t>5.88</w:t>
            </w:r>
          </w:p>
        </w:tc>
        <w:tc>
          <w:tcPr>
            <w:tcBorders/>
          </w:tcPr>
          <w:tcPr>
            <w:vAlign w:val="top"/>
          </w:tcPr>
          <w:p>
            <w:pPr>
              <w:jc w:val="center"/>
            </w:pPr>
            <w:r/>
            <w:r>
              <w:rPr xsi:nil="true"/>
              <w:t>100</w:t>
            </w:r>
          </w:p>
        </w:tc>
        <w:tc>
          <w:tcPr>
            <w:tcBorders/>
          </w:tcPr>
          <w:tcPr>
            <w:vAlign w:val="top"/>
          </w:tcPr>
          <w:p>
            <w:pPr>
              <w:jc w:val="center"/>
            </w:pPr>
            <w:r/>
            <w:r>
              <w:rPr xsi:nil="true"/>
              <w:t>5.10</w:t>
            </w:r>
          </w:p>
        </w:tc>
      </w:tr>
      <w:tr>
        <w:tc>
          <w:tcPr>
            <w:tcBorders/>
          </w:tcPr>
          <w:tcPr>
            <w:vAlign w:val="top"/>
          </w:tcPr>
          <w:p>
            <w:pPr>
              <w:jc w:val="left"/>
            </w:pPr>
            <w:r/>
            <w:r>
              <w:rPr xsi:nil="true"/>
              <w:t>Chaosuanzaoren (Parched Ziziphi Spinosae Semen) +Duanmuli (Calcined Ostreae Concha)</w:t>
            </w:r>
          </w:p>
        </w:tc>
        <w:tc>
          <w:tcPr>
            <w:tcBorders/>
          </w:tcPr>
          <w:tcPr>
            <w:vAlign w:val="top"/>
          </w:tcPr>
          <w:p>
            <w:pPr>
              <w:jc w:val="left"/>
            </w:pPr>
            <w:r/>
            <w:r>
              <w:rPr xsi:nil="true"/>
              <w:t>Insomnia</w:t>
            </w:r>
          </w:p>
        </w:tc>
        <w:tc>
          <w:tcPr>
            <w:tcBorders/>
          </w:tcPr>
          <w:tcPr>
            <w:vAlign w:val="top"/>
          </w:tcPr>
          <w:p>
            <w:pPr>
              <w:jc w:val="center"/>
            </w:pPr>
            <w:r/>
            <w:r>
              <w:rPr xsi:nil="true"/>
              <w:t>5.88</w:t>
            </w:r>
          </w:p>
        </w:tc>
        <w:tc>
          <w:tcPr>
            <w:tcBorders/>
          </w:tcPr>
          <w:tcPr>
            <w:vAlign w:val="top"/>
          </w:tcPr>
          <w:p>
            <w:pPr>
              <w:jc w:val="center"/>
            </w:pPr>
            <w:r/>
            <w:r>
              <w:rPr xsi:nil="true"/>
              <w:t>100</w:t>
            </w:r>
          </w:p>
        </w:tc>
        <w:tc>
          <w:tcPr>
            <w:tcBorders/>
          </w:tcPr>
          <w:tcPr>
            <w:vAlign w:val="top"/>
          </w:tcPr>
          <w:p>
            <w:pPr>
              <w:jc w:val="center"/>
            </w:pPr>
            <w:r/>
            <w:r>
              <w:rPr xsi:nil="true"/>
              <w:t>5.10</w:t>
            </w:r>
          </w:p>
        </w:tc>
      </w:tr>
      <w:tr>
        <w:tc>
          <w:tcPr>
            <w:tcBorders/>
          </w:tcPr>
          <w:tcPr>
            <w:vAlign w:val="top"/>
          </w:tcPr>
          <w:p>
            <w:pPr>
              <w:jc w:val="left"/>
            </w:pPr>
            <w:r/>
            <w:r>
              <w:rPr xsi:nil="true"/>
              <w:t>Chaosuanzaoren (Parched Ziziphi Spinosae Semen) + Wuweizi (Schisandrae Chinensis Fructus)</w:t>
            </w:r>
          </w:p>
        </w:tc>
        <w:tc>
          <w:tcPr>
            <w:tcBorders/>
          </w:tcPr>
          <w:tcPr>
            <w:vAlign w:val="top"/>
          </w:tcPr>
          <w:p>
            <w:pPr>
              <w:jc w:val="left"/>
            </w:pPr>
            <w:r/>
            <w:r>
              <w:rPr xsi:nil="true"/>
              <w:t>Insomnia</w:t>
            </w:r>
          </w:p>
        </w:tc>
        <w:tc>
          <w:tcPr>
            <w:tcBorders/>
          </w:tcPr>
          <w:tcPr>
            <w:vAlign w:val="top"/>
          </w:tcPr>
          <w:p>
            <w:pPr>
              <w:jc w:val="center"/>
            </w:pPr>
            <w:r/>
            <w:r>
              <w:rPr xsi:nil="true"/>
              <w:t>5.88</w:t>
            </w:r>
          </w:p>
        </w:tc>
        <w:tc>
          <w:tcPr>
            <w:tcBorders/>
          </w:tcPr>
          <w:tcPr>
            <w:vAlign w:val="top"/>
          </w:tcPr>
          <w:p>
            <w:pPr>
              <w:jc w:val="center"/>
            </w:pPr>
            <w:r/>
            <w:r>
              <w:rPr xsi:nil="true"/>
              <w:t>100</w:t>
            </w:r>
          </w:p>
        </w:tc>
        <w:tc>
          <w:tcPr>
            <w:tcBorders/>
          </w:tcPr>
          <w:tcPr>
            <w:vAlign w:val="top"/>
          </w:tcPr>
          <w:p>
            <w:pPr>
              <w:jc w:val="center"/>
            </w:pPr>
            <w:r/>
            <w:r>
              <w:rPr xsi:nil="true"/>
              <w:t>5.10</w:t>
            </w:r>
          </w:p>
        </w:tc>
      </w:tr>
      <w:tr>
        <w:tc>
          <w:tcPr>
            <w:tcBorders/>
          </w:tcPr>
          <w:tcPr>
            <w:vAlign w:val="top"/>
          </w:tcPr>
          <w:p>
            <w:pPr>
              <w:jc w:val="left"/>
            </w:pPr>
            <w:r/>
            <w:r>
              <w:rPr xsi:nil="true"/>
              <w:t>Chuanguizhi (</w:t>
            </w:r>
            <w:r>
              <w:rPr xsi:nil="true">
                <w:i w:val="true"/>
              </w:rPr>
              <w:t>Cinnamomum wilsonii</w:t>
            </w:r>
            <w:r>
              <w:rPr xsi:nil="true"/>
              <w:t xml:space="preserve"> Gamble) + Fuzi (Aconiti Lateralis Radix Praeparata)</w:t>
            </w:r>
          </w:p>
        </w:tc>
        <w:tc>
          <w:tcPr>
            <w:tcBorders/>
          </w:tcPr>
          <w:tcPr>
            <w:vAlign w:val="top"/>
          </w:tcPr>
          <w:p>
            <w:pPr>
              <w:jc w:val="left"/>
            </w:pPr>
            <w:r/>
            <w:r>
              <w:rPr xsi:nil="true"/>
              <w:t>Polyuria</w:t>
            </w:r>
          </w:p>
        </w:tc>
        <w:tc>
          <w:tcPr>
            <w:tcBorders/>
          </w:tcPr>
          <w:tcPr>
            <w:vAlign w:val="top"/>
          </w:tcPr>
          <w:p>
            <w:pPr>
              <w:jc w:val="center"/>
            </w:pPr>
            <w:r/>
            <w:r>
              <w:rPr xsi:nil="true"/>
              <w:t>5.88</w:t>
            </w:r>
          </w:p>
        </w:tc>
        <w:tc>
          <w:tcPr>
            <w:tcBorders/>
          </w:tcPr>
          <w:tcPr>
            <w:vAlign w:val="top"/>
          </w:tcPr>
          <w:p>
            <w:pPr>
              <w:jc w:val="center"/>
            </w:pPr>
            <w:r/>
            <w:r>
              <w:rPr xsi:nil="true"/>
              <w:t>100</w:t>
            </w:r>
          </w:p>
        </w:tc>
        <w:tc>
          <w:tcPr>
            <w:tcBorders/>
          </w:tcPr>
          <w:tcPr>
            <w:vAlign w:val="top"/>
          </w:tcPr>
          <w:p>
            <w:pPr>
              <w:jc w:val="center"/>
            </w:pPr>
            <w:r/>
            <w:r>
              <w:rPr xsi:nil="true"/>
              <w:t>3.64</w:t>
            </w:r>
          </w:p>
        </w:tc>
      </w:tr>
      <w:tr>
        <w:tc>
          <w:tcPr>
            <w:tcBorders/>
          </w:tcPr>
          <w:tcPr>
            <w:vAlign w:val="top"/>
          </w:tcPr>
          <w:p>
            <w:pPr>
              <w:jc w:val="left"/>
            </w:pPr>
            <w:r/>
            <w:r>
              <w:rPr xsi:nil="true"/>
              <w:t>Chuanguizhi (</w:t>
            </w:r>
            <w:r>
              <w:rPr xsi:nil="true">
                <w:i w:val="true"/>
              </w:rPr>
              <w:t>Cinnamomum wilsonii</w:t>
            </w:r>
            <w:r>
              <w:rPr xsi:nil="true"/>
              <w:t xml:space="preserve"> Gamble) + Jiugancao (Wine-processed Glycyrrhizae Radix et Rhizoma)</w:t>
            </w:r>
          </w:p>
        </w:tc>
        <w:tc>
          <w:tcPr>
            <w:tcBorders/>
          </w:tcPr>
          <w:tcPr>
            <w:vAlign w:val="top"/>
          </w:tcPr>
          <w:p>
            <w:pPr>
              <w:jc w:val="left"/>
            </w:pPr>
            <w:r/>
            <w:r>
              <w:rPr xsi:nil="true"/>
              <w:t>Polyuria</w:t>
            </w:r>
          </w:p>
        </w:tc>
        <w:tc>
          <w:tcPr>
            <w:tcBorders/>
          </w:tcPr>
          <w:tcPr>
            <w:vAlign w:val="top"/>
          </w:tcPr>
          <w:p>
            <w:pPr>
              <w:jc w:val="center"/>
            </w:pPr>
            <w:r/>
            <w:r>
              <w:rPr xsi:nil="true"/>
              <w:t>5.88</w:t>
            </w:r>
          </w:p>
        </w:tc>
        <w:tc>
          <w:tcPr>
            <w:tcBorders/>
          </w:tcPr>
          <w:tcPr>
            <w:vAlign w:val="top"/>
          </w:tcPr>
          <w:p>
            <w:pPr>
              <w:jc w:val="center"/>
            </w:pPr>
            <w:r/>
            <w:r>
              <w:rPr xsi:nil="true"/>
              <w:t>100</w:t>
            </w:r>
          </w:p>
        </w:tc>
        <w:tc>
          <w:tcPr>
            <w:tcBorders/>
          </w:tcPr>
          <w:tcPr>
            <w:vAlign w:val="top"/>
          </w:tcPr>
          <w:p>
            <w:pPr>
              <w:jc w:val="center"/>
            </w:pPr>
            <w:r/>
            <w:r>
              <w:rPr xsi:nil="true"/>
              <w:t>3.64</w:t>
            </w:r>
          </w:p>
        </w:tc>
      </w:tr>
      <w:tr>
        <w:tc>
          <w:tcPr>
            <w:tcBorders/>
          </w:tcPr>
          <w:tcPr>
            <w:vAlign w:val="top"/>
          </w:tcPr>
          <w:p>
            <w:pPr>
              <w:jc w:val="left"/>
            </w:pPr>
            <w:r/>
            <w:r>
              <w:rPr xsi:nil="true"/>
              <w:t>Chuanguizhi (</w:t>
            </w:r>
            <w:r>
              <w:rPr xsi:nil="true">
                <w:i w:val="true"/>
              </w:rPr>
              <w:t>Cinnamomum wilsonii</w:t>
            </w:r>
            <w:r>
              <w:rPr xsi:nil="true"/>
              <w:t xml:space="preserve"> Gamble) + Yunfuling (</w:t>
            </w:r>
            <w:r>
              <w:rPr xsi:nil="true">
                <w:i w:val="true"/>
              </w:rPr>
              <w:t>Wolfiporia extensa</w:t>
            </w:r>
            <w:r>
              <w:rPr xsi:nil="true"/>
              <w:t>)</w:t>
            </w:r>
          </w:p>
        </w:tc>
        <w:tc>
          <w:tcPr>
            <w:tcBorders/>
          </w:tcPr>
          <w:tcPr>
            <w:vAlign w:val="top"/>
          </w:tcPr>
          <w:p>
            <w:pPr>
              <w:jc w:val="left"/>
            </w:pPr>
            <w:r/>
            <w:r>
              <w:rPr xsi:nil="true"/>
              <w:t>Polyuria</w:t>
            </w:r>
          </w:p>
        </w:tc>
        <w:tc>
          <w:tcPr>
            <w:tcBorders/>
          </w:tcPr>
          <w:tcPr>
            <w:vAlign w:val="top"/>
          </w:tcPr>
          <w:p>
            <w:pPr>
              <w:jc w:val="center"/>
            </w:pPr>
            <w:r/>
            <w:r>
              <w:rPr xsi:nil="true"/>
              <w:t>5.88</w:t>
            </w:r>
          </w:p>
        </w:tc>
        <w:tc>
          <w:tcPr>
            <w:tcBorders/>
          </w:tcPr>
          <w:tcPr>
            <w:vAlign w:val="top"/>
          </w:tcPr>
          <w:p>
            <w:pPr>
              <w:jc w:val="center"/>
            </w:pPr>
            <w:r/>
            <w:r>
              <w:rPr xsi:nil="true"/>
              <w:t>100</w:t>
            </w:r>
          </w:p>
        </w:tc>
        <w:tc>
          <w:tcPr>
            <w:tcBorders/>
          </w:tcPr>
          <w:tcPr>
            <w:vAlign w:val="top"/>
          </w:tcPr>
          <w:p>
            <w:pPr>
              <w:jc w:val="center"/>
            </w:pPr>
            <w:r/>
            <w:r>
              <w:rPr xsi:nil="true"/>
              <w:t>3.64</w:t>
            </w:r>
          </w:p>
        </w:tc>
      </w:tr>
      <w:tr>
        <w:tc>
          <w:tcPr>
            <w:tcBorders/>
          </w:tcPr>
          <w:tcPr>
            <w:vAlign w:val="top"/>
          </w:tcPr>
          <w:p>
            <w:pPr>
              <w:jc w:val="left"/>
            </w:pPr>
            <w:r/>
            <w:r>
              <w:rPr xsi:nil="true"/>
              <w:t>Heye (Nelumbinis Folium) + Ganjiang (Zingiberis Rhizoma)</w:t>
            </w:r>
          </w:p>
        </w:tc>
        <w:tc>
          <w:tcPr>
            <w:tcBorders/>
          </w:tcPr>
          <w:tcPr>
            <w:vAlign w:val="top"/>
          </w:tcPr>
          <w:p>
            <w:pPr>
              <w:jc w:val="left"/>
            </w:pPr>
            <w:r/>
            <w:r>
              <w:rPr xsi:nil="true"/>
              <w:t>Blocked bottom of tongue</w:t>
            </w:r>
          </w:p>
        </w:tc>
        <w:tc>
          <w:tcPr>
            <w:tcBorders/>
          </w:tcPr>
          <w:tcPr>
            <w:vAlign w:val="top"/>
          </w:tcPr>
          <w:p>
            <w:pPr>
              <w:jc w:val="center"/>
            </w:pPr>
            <w:r/>
            <w:r>
              <w:rPr xsi:nil="true"/>
              <w:t>9.80</w:t>
            </w:r>
          </w:p>
        </w:tc>
        <w:tc>
          <w:tcPr>
            <w:tcBorders/>
          </w:tcPr>
          <w:tcPr>
            <w:vAlign w:val="top"/>
          </w:tcPr>
          <w:p>
            <w:pPr>
              <w:jc w:val="center"/>
            </w:pPr>
            <w:r/>
            <w:r>
              <w:rPr xsi:nil="true"/>
              <w:t>100</w:t>
            </w:r>
          </w:p>
        </w:tc>
        <w:tc>
          <w:tcPr>
            <w:tcBorders/>
          </w:tcPr>
          <w:tcPr>
            <w:vAlign w:val="top"/>
          </w:tcPr>
          <w:p>
            <w:pPr>
              <w:jc w:val="center"/>
            </w:pPr>
            <w:r/>
            <w:r>
              <w:rPr xsi:nil="true"/>
              <w:t>2.13</w:t>
            </w:r>
          </w:p>
        </w:tc>
      </w:tr>
      <w:tr>
        <w:tc>
          <w:tcPr>
            <w:tcBorders/>
          </w:tcPr>
          <w:tcPr>
            <w:vAlign w:val="top"/>
          </w:tcPr>
          <w:p>
            <w:pPr>
              <w:jc w:val="left"/>
            </w:pPr>
            <w:r/>
            <w:r>
              <w:rPr xsi:nil="true"/>
              <w:t>Heye (Nelumbinis Folium) + Huangqi (Astragali Radix)</w:t>
            </w:r>
          </w:p>
        </w:tc>
        <w:tc>
          <w:tcPr>
            <w:tcBorders/>
          </w:tcPr>
          <w:tcPr>
            <w:vAlign w:val="top"/>
          </w:tcPr>
          <w:p>
            <w:pPr>
              <w:jc w:val="left"/>
            </w:pPr>
            <w:r/>
            <w:r>
              <w:rPr xsi:nil="true"/>
              <w:t>Blocked bottom of tongue</w:t>
            </w:r>
          </w:p>
        </w:tc>
        <w:tc>
          <w:tcPr>
            <w:tcBorders/>
          </w:tcPr>
          <w:tcPr>
            <w:vAlign w:val="top"/>
          </w:tcPr>
          <w:p>
            <w:pPr>
              <w:jc w:val="center"/>
            </w:pPr>
            <w:r/>
            <w:r>
              <w:rPr xsi:nil="true"/>
              <w:t>9.80</w:t>
            </w:r>
          </w:p>
        </w:tc>
        <w:tc>
          <w:tcPr>
            <w:tcBorders/>
          </w:tcPr>
          <w:tcPr>
            <w:vAlign w:val="top"/>
          </w:tcPr>
          <w:p>
            <w:pPr>
              <w:jc w:val="center"/>
            </w:pPr>
            <w:r/>
            <w:r>
              <w:rPr xsi:nil="true"/>
              <w:t>100</w:t>
            </w:r>
          </w:p>
        </w:tc>
        <w:tc>
          <w:tcPr>
            <w:tcBorders/>
          </w:tcPr>
          <w:tcPr>
            <w:vAlign w:val="top"/>
          </w:tcPr>
          <w:p>
            <w:pPr>
              <w:jc w:val="center"/>
            </w:pPr>
            <w:r/>
            <w:r>
              <w:rPr xsi:nil="true"/>
              <w:t>2.13</w:t>
            </w:r>
          </w:p>
        </w:tc>
      </w:tr>
      <w:tr>
        <w:tc>
          <w:tcPr>
            <w:tcBorders/>
          </w:tcPr>
          <w:tcPr>
            <w:vAlign w:val="top"/>
          </w:tcPr>
          <w:p>
            <w:pPr>
              <w:jc w:val="left"/>
            </w:pPr>
            <w:r/>
            <w:r>
              <w:rPr xsi:nil="true"/>
              <w:t>Heye (Nelumbinis Folium) + Huanglian (Coptidis Rhizoma)</w:t>
            </w:r>
          </w:p>
        </w:tc>
        <w:tc>
          <w:tcPr>
            <w:tcBorders/>
          </w:tcPr>
          <w:tcPr>
            <w:vAlign w:val="top"/>
          </w:tcPr>
          <w:p>
            <w:pPr>
              <w:jc w:val="left"/>
            </w:pPr>
            <w:r/>
            <w:r>
              <w:rPr xsi:nil="true"/>
              <w:t>Blocked bottom of tongue</w:t>
            </w:r>
          </w:p>
        </w:tc>
        <w:tc>
          <w:tcPr>
            <w:tcBorders/>
          </w:tcPr>
          <w:tcPr>
            <w:vAlign w:val="top"/>
          </w:tcPr>
          <w:p>
            <w:pPr>
              <w:jc w:val="center"/>
            </w:pPr>
            <w:r/>
            <w:r>
              <w:rPr xsi:nil="true"/>
              <w:t>9.80</w:t>
            </w:r>
          </w:p>
        </w:tc>
        <w:tc>
          <w:tcPr>
            <w:tcBorders/>
          </w:tcPr>
          <w:tcPr>
            <w:vAlign w:val="top"/>
          </w:tcPr>
          <w:p>
            <w:pPr>
              <w:jc w:val="center"/>
            </w:pPr>
            <w:r/>
            <w:r>
              <w:rPr xsi:nil="true"/>
              <w:t>100</w:t>
            </w:r>
          </w:p>
        </w:tc>
        <w:tc>
          <w:tcPr>
            <w:tcBorders/>
          </w:tcPr>
          <w:tcPr>
            <w:vAlign w:val="top"/>
          </w:tcPr>
          <w:p>
            <w:pPr>
              <w:jc w:val="center"/>
            </w:pPr>
            <w:r/>
            <w:r>
              <w:rPr xsi:nil="true"/>
              <w:t>2.13</w:t>
            </w:r>
          </w:p>
        </w:tc>
      </w:tr>
      <w:tr>
        <w:tc>
          <w:tcPr>
            <w:tcBorders/>
          </w:tcPr>
          <w:tcPr>
            <w:vAlign w:val="top"/>
          </w:tcPr>
          <w:p>
            <w:pPr>
              <w:jc w:val="left"/>
            </w:pPr>
            <w:r/>
            <w:r>
              <w:rPr xsi:nil="true"/>
              <w:t>Dangshen (Codonopsis Radix) + Wumei (Mume Fructus)</w:t>
            </w:r>
          </w:p>
        </w:tc>
        <w:tc>
          <w:tcPr>
            <w:tcBorders/>
          </w:tcPr>
          <w:tcPr>
            <w:vAlign w:val="top"/>
          </w:tcPr>
          <w:p>
            <w:pPr>
              <w:jc w:val="left"/>
            </w:pPr>
            <w:r/>
            <w:r>
              <w:rPr xsi:nil="true"/>
              <w:t>Enlarged and pale tongue body</w:t>
            </w:r>
          </w:p>
        </w:tc>
        <w:tc>
          <w:tcPr>
            <w:tcBorders/>
          </w:tcPr>
          <w:tcPr>
            <w:vAlign w:val="top"/>
          </w:tcPr>
          <w:p>
            <w:pPr>
              <w:jc w:val="center"/>
            </w:pPr>
            <w:r/>
            <w:r>
              <w:rPr xsi:nil="true"/>
              <w:t>5.88</w:t>
            </w:r>
          </w:p>
        </w:tc>
        <w:tc>
          <w:tcPr>
            <w:tcBorders/>
          </w:tcPr>
          <w:tcPr>
            <w:vAlign w:val="top"/>
          </w:tcPr>
          <w:p>
            <w:pPr>
              <w:jc w:val="center"/>
            </w:pPr>
            <w:r/>
            <w:r>
              <w:rPr xsi:nil="true"/>
              <w:t>100</w:t>
            </w:r>
          </w:p>
        </w:tc>
        <w:tc>
          <w:tcPr>
            <w:tcBorders/>
          </w:tcPr>
          <w:tcPr>
            <w:vAlign w:val="top"/>
          </w:tcPr>
          <w:p>
            <w:pPr>
              <w:jc w:val="center"/>
            </w:pPr>
            <w:r/>
            <w:r>
              <w:rPr xsi:nil="true"/>
              <w:t>8.50</w:t>
            </w:r>
          </w:p>
        </w:tc>
      </w:tr>
      <w:tr>
        <w:tc>
          <w:tcPr>
            <w:tcBorders/>
          </w:tcPr>
          <w:tcPr>
            <w:vAlign w:val="top"/>
          </w:tcPr>
          <w:p>
            <w:pPr>
              <w:jc w:val="left"/>
            </w:pPr>
            <w:r/>
            <w:r>
              <w:rPr xsi:nil="true"/>
              <w:t>Dangshen (Codonopsis Radix) + Huangbo (</w:t>
            </w:r>
            <w:r>
              <w:rPr xsi:nil="true">
                <w:i w:val="true"/>
              </w:rPr>
              <w:t>Phellodendron chinense</w:t>
            </w:r>
            <w:r>
              <w:rPr xsi:nil="true"/>
              <w:t xml:space="preserve"> Schneid.)</w:t>
            </w:r>
          </w:p>
        </w:tc>
        <w:tc>
          <w:tcPr>
            <w:tcBorders/>
          </w:tcPr>
          <w:tcPr>
            <w:vAlign w:val="top"/>
          </w:tcPr>
          <w:p>
            <w:pPr>
              <w:jc w:val="left"/>
            </w:pPr>
            <w:r/>
            <w:r>
              <w:rPr xsi:nil="true"/>
              <w:t>Enlarged and pale tongue body</w:t>
            </w:r>
          </w:p>
        </w:tc>
        <w:tc>
          <w:tcPr>
            <w:tcBorders/>
          </w:tcPr>
          <w:tcPr>
            <w:vAlign w:val="top"/>
          </w:tcPr>
          <w:p>
            <w:pPr>
              <w:jc w:val="center"/>
            </w:pPr>
            <w:r/>
            <w:r>
              <w:rPr xsi:nil="true"/>
              <w:t>5.88</w:t>
            </w:r>
          </w:p>
        </w:tc>
        <w:tc>
          <w:tcPr>
            <w:tcBorders/>
          </w:tcPr>
          <w:tcPr>
            <w:vAlign w:val="top"/>
          </w:tcPr>
          <w:p>
            <w:pPr>
              <w:jc w:val="center"/>
            </w:pPr>
            <w:r/>
            <w:r>
              <w:rPr xsi:nil="true"/>
              <w:t>100</w:t>
            </w:r>
          </w:p>
        </w:tc>
        <w:tc>
          <w:tcPr>
            <w:tcBorders/>
          </w:tcPr>
          <w:tcPr>
            <w:vAlign w:val="top"/>
          </w:tcPr>
          <w:p>
            <w:pPr>
              <w:jc w:val="center"/>
            </w:pPr>
            <w:r/>
            <w:r>
              <w:rPr xsi:nil="true"/>
              <w:t>8.50</w:t>
            </w:r>
          </w:p>
        </w:tc>
      </w:tr>
      <w:tr>
        <w:tc>
          <w:tcPr>
            <w:tcBorders/>
          </w:tcPr>
          <w:tcPr>
            <w:vAlign w:val="top"/>
          </w:tcPr>
          <w:p>
            <w:pPr>
              <w:jc w:val="left"/>
            </w:pPr>
            <w:r/>
            <w:r>
              <w:rPr xsi:nil="true"/>
              <w:t>Dangshen (Codonopsis Radix) + Ganjiang (Zingiberis Rhizoma)</w:t>
            </w:r>
          </w:p>
        </w:tc>
        <w:tc>
          <w:tcPr>
            <w:tcBorders/>
          </w:tcPr>
          <w:tcPr>
            <w:vAlign w:val="top"/>
          </w:tcPr>
          <w:p>
            <w:pPr>
              <w:jc w:val="left"/>
            </w:pPr>
            <w:r/>
            <w:r>
              <w:rPr xsi:nil="true"/>
              <w:t>Enlarged and pale tongue body</w:t>
            </w:r>
          </w:p>
        </w:tc>
        <w:tc>
          <w:tcPr>
            <w:tcBorders/>
          </w:tcPr>
          <w:tcPr>
            <w:vAlign w:val="top"/>
          </w:tcPr>
          <w:p>
            <w:pPr>
              <w:jc w:val="center"/>
            </w:pPr>
            <w:r/>
            <w:r>
              <w:rPr xsi:nil="true"/>
              <w:t>5.88</w:t>
            </w:r>
          </w:p>
        </w:tc>
        <w:tc>
          <w:tcPr>
            <w:tcBorders/>
          </w:tcPr>
          <w:tcPr>
            <w:vAlign w:val="top"/>
          </w:tcPr>
          <w:p>
            <w:pPr>
              <w:jc w:val="center"/>
            </w:pPr>
            <w:r/>
            <w:r>
              <w:rPr xsi:nil="true"/>
              <w:t>100</w:t>
            </w:r>
          </w:p>
        </w:tc>
        <w:tc>
          <w:tcPr>
            <w:tcBorders/>
          </w:tcPr>
          <w:tcPr>
            <w:vAlign w:val="top"/>
          </w:tcPr>
          <w:p>
            <w:pPr>
              <w:jc w:val="center"/>
            </w:pPr>
            <w:r/>
            <w:r>
              <w:rPr xsi:nil="true"/>
              <w:t>8.50</w:t>
            </w:r>
          </w:p>
        </w:tc>
      </w:tr>
      <w:tr>
        <w:tc>
          <w:tcPr>
            <w:tcBorders/>
          </w:tcPr>
          <w:tcPr>
            <w:vAlign w:val="top"/>
          </w:tcPr>
          <w:p>
            <w:pPr>
              <w:jc w:val="left"/>
            </w:pPr>
            <w:r/>
            <w:r>
              <w:rPr xsi:nil="true"/>
              <w:t>Chaosuanzaoren (Parched Ziziphi Spinosae Semen) +</w:t>
            </w:r>
            <w:r>
              <w:rPr xsi:nil="true"/>
              <w:t xml:space="preserve"> Duanlonggu (Fossilia Ossia Mastodi)</w:t>
            </w:r>
          </w:p>
        </w:tc>
        <w:tc>
          <w:tcPr>
            <w:tcBorders/>
          </w:tcPr>
          <w:tcPr>
            <w:vAlign w:val="top"/>
          </w:tcPr>
          <w:p>
            <w:pPr>
              <w:jc w:val="left"/>
            </w:pPr>
            <w:r/>
            <w:r>
              <w:rPr xsi:nil="true"/>
              <w:t>Dark red tongue body</w:t>
            </w:r>
          </w:p>
        </w:tc>
        <w:tc>
          <w:tcPr>
            <w:tcBorders/>
          </w:tcPr>
          <w:tcPr>
            <w:vAlign w:val="top"/>
          </w:tcPr>
          <w:p>
            <w:pPr>
              <w:jc w:val="center"/>
            </w:pPr>
            <w:r/>
            <w:r>
              <w:rPr xsi:nil="true"/>
              <w:t>5.88</w:t>
            </w:r>
          </w:p>
        </w:tc>
        <w:tc>
          <w:tcPr>
            <w:tcBorders/>
          </w:tcPr>
          <w:tcPr>
            <w:vAlign w:val="top"/>
          </w:tcPr>
          <w:p>
            <w:pPr>
              <w:jc w:val="center"/>
            </w:pPr>
            <w:r/>
            <w:r>
              <w:rPr xsi:nil="true"/>
              <w:t>100</w:t>
            </w:r>
          </w:p>
        </w:tc>
        <w:tc>
          <w:tcPr>
            <w:tcBorders/>
          </w:tcPr>
          <w:tcPr>
            <w:vAlign w:val="top"/>
          </w:tcPr>
          <w:p>
            <w:pPr>
              <w:jc w:val="center"/>
            </w:pPr>
            <w:r/>
            <w:r>
              <w:rPr xsi:nil="true"/>
              <w:t>5.67</w:t>
            </w:r>
          </w:p>
        </w:tc>
      </w:tr>
      <w:tr>
        <w:tc>
          <w:tcPr>
            <w:tcBorders/>
          </w:tcPr>
          <w:tcPr>
            <w:vAlign w:val="top"/>
          </w:tcPr>
          <w:p>
            <w:pPr>
              <w:jc w:val="left"/>
            </w:pPr>
            <w:r/>
            <w:r>
              <w:rPr xsi:nil="true"/>
              <w:t>Chaosuanzaoren (Parched Ziziphi Spinosae Semen) +Shanzhuyu (Corni Fructus)</w:t>
            </w:r>
          </w:p>
        </w:tc>
        <w:tc>
          <w:tcPr>
            <w:tcBorders/>
          </w:tcPr>
          <w:tcPr>
            <w:vAlign w:val="top"/>
          </w:tcPr>
          <w:p>
            <w:pPr>
              <w:jc w:val="left"/>
            </w:pPr>
            <w:r/>
            <w:r>
              <w:rPr xsi:nil="true"/>
              <w:t>Dark red tongue body</w:t>
            </w:r>
          </w:p>
        </w:tc>
        <w:tc>
          <w:tcPr>
            <w:tcBorders/>
          </w:tcPr>
          <w:tcPr>
            <w:vAlign w:val="top"/>
          </w:tcPr>
          <w:p>
            <w:pPr>
              <w:jc w:val="center"/>
            </w:pPr>
            <w:r/>
            <w:r>
              <w:rPr xsi:nil="true"/>
              <w:t>5.88</w:t>
            </w:r>
          </w:p>
        </w:tc>
        <w:tc>
          <w:tcPr>
            <w:tcBorders/>
          </w:tcPr>
          <w:tcPr>
            <w:vAlign w:val="top"/>
          </w:tcPr>
          <w:p>
            <w:pPr>
              <w:jc w:val="center"/>
            </w:pPr>
            <w:r/>
            <w:r>
              <w:rPr xsi:nil="true"/>
              <w:t>100</w:t>
            </w:r>
          </w:p>
        </w:tc>
        <w:tc>
          <w:tcPr>
            <w:tcBorders/>
          </w:tcPr>
          <w:tcPr>
            <w:vAlign w:val="top"/>
          </w:tcPr>
          <w:p>
            <w:pPr>
              <w:jc w:val="center"/>
            </w:pPr>
            <w:r/>
            <w:r>
              <w:rPr xsi:nil="true"/>
              <w:t>5.67</w:t>
            </w:r>
          </w:p>
        </w:tc>
      </w:tr>
      <w:tr>
        <w:tc>
          <w:tcPr>
            <w:tcBorders/>
          </w:tcPr>
          <w:tcPr>
            <w:vAlign w:val="top"/>
          </w:tcPr>
          <w:p>
            <w:pPr>
              <w:jc w:val="left"/>
            </w:pPr>
            <w:r/>
            <w:r>
              <w:rPr xsi:nil="true"/>
              <w:t>Chaosuanzaoren (Parched Ziziphi Spinosae Semen) + Rougui (Cinnamomi Cortex)</w:t>
            </w:r>
          </w:p>
        </w:tc>
        <w:tc>
          <w:tcPr>
            <w:tcBorders/>
          </w:tcPr>
          <w:tcPr>
            <w:vAlign w:val="top"/>
          </w:tcPr>
          <w:p>
            <w:pPr>
              <w:jc w:val="left"/>
            </w:pPr>
            <w:r/>
            <w:r>
              <w:rPr xsi:nil="true"/>
              <w:t>Dark red tongue body</w:t>
            </w:r>
          </w:p>
        </w:tc>
        <w:tc>
          <w:tcPr>
            <w:tcBorders/>
          </w:tcPr>
          <w:tcPr>
            <w:vAlign w:val="top"/>
          </w:tcPr>
          <w:p>
            <w:pPr>
              <w:jc w:val="center"/>
            </w:pPr>
            <w:r/>
            <w:r>
              <w:rPr xsi:nil="true"/>
              <w:t>5.88</w:t>
            </w:r>
          </w:p>
        </w:tc>
        <w:tc>
          <w:tcPr>
            <w:tcBorders/>
          </w:tcPr>
          <w:tcPr>
            <w:vAlign w:val="top"/>
          </w:tcPr>
          <w:p>
            <w:pPr>
              <w:jc w:val="center"/>
            </w:pPr>
            <w:r/>
            <w:r>
              <w:rPr xsi:nil="true"/>
              <w:t>100</w:t>
            </w:r>
          </w:p>
        </w:tc>
        <w:tc>
          <w:tcPr>
            <w:tcBorders/>
          </w:tcPr>
          <w:tcPr>
            <w:vAlign w:val="top"/>
          </w:tcPr>
          <w:p>
            <w:pPr>
              <w:jc w:val="center"/>
            </w:pPr>
            <w:r/>
            <w:r>
              <w:rPr xsi:nil="true"/>
              <w:t>5.67</w:t>
            </w:r>
          </w:p>
        </w:tc>
      </w:tr>
      <w:tr>
        <w:tc>
          <w:tcPr>
            <w:tcBorders/>
          </w:tcPr>
          <w:tcPr>
            <w:vAlign w:val="top"/>
          </w:tcPr>
          <w:p>
            <w:pPr>
              <w:jc w:val="left"/>
            </w:pPr>
            <w:r/>
            <w:r>
              <w:rPr xsi:nil="true"/>
              <w:t>Jiugancao (Wine-processed Glycyrrhizae Radix et Rhizoma) +Baishao (Paeoniae Radix Alba)</w:t>
            </w:r>
          </w:p>
        </w:tc>
        <w:tc>
          <w:tcPr>
            <w:tcBorders/>
          </w:tcPr>
          <w:tcPr>
            <w:vAlign w:val="top"/>
          </w:tcPr>
          <w:p>
            <w:pPr>
              <w:jc w:val="left"/>
            </w:pPr>
            <w:r/>
            <w:r>
              <w:rPr xsi:nil="true"/>
              <w:t>Deep and rapid pulse</w:t>
            </w:r>
          </w:p>
        </w:tc>
        <w:tc>
          <w:tcPr>
            <w:tcBorders/>
          </w:tcPr>
          <w:tcPr>
            <w:vAlign w:val="top"/>
          </w:tcPr>
          <w:p>
            <w:pPr>
              <w:jc w:val="center"/>
            </w:pPr>
            <w:r/>
            <w:r>
              <w:rPr xsi:nil="true"/>
              <w:t>5.88</w:t>
            </w:r>
          </w:p>
        </w:tc>
        <w:tc>
          <w:tcPr>
            <w:tcBorders/>
          </w:tcPr>
          <w:tcPr>
            <w:vAlign w:val="top"/>
          </w:tcPr>
          <w:p>
            <w:pPr>
              <w:jc w:val="center"/>
            </w:pPr>
            <w:r/>
            <w:r>
              <w:rPr xsi:nil="true"/>
              <w:t>100</w:t>
            </w:r>
          </w:p>
        </w:tc>
        <w:tc>
          <w:tcPr>
            <w:tcBorders/>
          </w:tcPr>
          <w:tcPr>
            <w:vAlign w:val="top"/>
          </w:tcPr>
          <w:p>
            <w:pPr>
              <w:jc w:val="center"/>
            </w:pPr>
            <w:r/>
            <w:r>
              <w:rPr xsi:nil="true"/>
              <w:t>7.29</w:t>
            </w:r>
          </w:p>
        </w:tc>
      </w:tr>
      <w:tr>
        <w:tc>
          <w:tcPr>
            <w:tcBorders/>
          </w:tcPr>
          <w:tcPr>
            <w:vAlign w:val="top"/>
          </w:tcPr>
          <w:p>
            <w:pPr>
              <w:jc w:val="left"/>
            </w:pPr>
            <w:r/>
            <w:r>
              <w:rPr xsi:nil="true"/>
              <w:t>Jiugancao (Wine-processed Glycyrrhizae Radix et Rhizoma) +Jixueteng (Spatholobi Caulis)</w:t>
            </w:r>
          </w:p>
        </w:tc>
        <w:tc>
          <w:tcPr>
            <w:tcBorders/>
          </w:tcPr>
          <w:tcPr>
            <w:vAlign w:val="top"/>
          </w:tcPr>
          <w:p>
            <w:pPr>
              <w:jc w:val="left"/>
            </w:pPr>
            <w:r/>
            <w:r>
              <w:rPr xsi:nil="true"/>
              <w:t>Deep and rapid pulse</w:t>
            </w:r>
          </w:p>
        </w:tc>
        <w:tc>
          <w:tcPr>
            <w:tcBorders/>
          </w:tcPr>
          <w:tcPr>
            <w:vAlign w:val="top"/>
          </w:tcPr>
          <w:p>
            <w:pPr>
              <w:jc w:val="center"/>
            </w:pPr>
            <w:r/>
            <w:r>
              <w:rPr xsi:nil="true"/>
              <w:t>5.88</w:t>
            </w:r>
          </w:p>
        </w:tc>
        <w:tc>
          <w:tcPr>
            <w:tcBorders/>
          </w:tcPr>
          <w:tcPr>
            <w:vAlign w:val="top"/>
          </w:tcPr>
          <w:p>
            <w:pPr>
              <w:jc w:val="center"/>
            </w:pPr>
            <w:r/>
            <w:r>
              <w:rPr xsi:nil="true"/>
              <w:t>100</w:t>
            </w:r>
          </w:p>
        </w:tc>
        <w:tc>
          <w:tcPr>
            <w:tcBorders/>
          </w:tcPr>
          <w:tcPr>
            <w:vAlign w:val="top"/>
          </w:tcPr>
          <w:p>
            <w:pPr>
              <w:jc w:val="center"/>
            </w:pPr>
            <w:r/>
            <w:r>
              <w:rPr xsi:nil="true"/>
              <w:t>7.29</w:t>
            </w:r>
          </w:p>
        </w:tc>
      </w:tr>
      <w:tr>
        <w:tc>
          <w:tcPr>
            <w:tcBorders/>
          </w:tcPr>
          <w:tcPr>
            <w:vAlign w:val="top"/>
          </w:tcPr>
          <w:p>
            <w:pPr>
              <w:jc w:val="left"/>
            </w:pPr>
            <w:r/>
            <w:r>
              <w:rPr xsi:nil="true"/>
              <w:t>Jiugancao (Wine-processed Glycyrrhizae Radix et Rhizoma) +Huangqi (Astragali Radix)</w:t>
            </w:r>
          </w:p>
        </w:tc>
        <w:tc>
          <w:tcPr>
            <w:tcBorders/>
          </w:tcPr>
          <w:tcPr>
            <w:vAlign w:val="top"/>
          </w:tcPr>
          <w:p>
            <w:pPr>
              <w:jc w:val="left"/>
            </w:pPr>
            <w:r/>
            <w:r>
              <w:rPr xsi:nil="true"/>
              <w:t>Deep and rapid pulse</w:t>
            </w:r>
          </w:p>
        </w:tc>
        <w:tc>
          <w:tcPr>
            <w:tcBorders/>
          </w:tcPr>
          <w:tcPr>
            <w:vAlign w:val="top"/>
          </w:tcPr>
          <w:p>
            <w:pPr>
              <w:jc w:val="center"/>
            </w:pPr>
            <w:r/>
            <w:r>
              <w:rPr xsi:nil="true"/>
              <w:t>5.88</w:t>
            </w:r>
          </w:p>
        </w:tc>
        <w:tc>
          <w:tcPr>
            <w:tcBorders/>
          </w:tcPr>
          <w:tcPr>
            <w:vAlign w:val="top"/>
          </w:tcPr>
          <w:p>
            <w:pPr>
              <w:jc w:val="center"/>
            </w:pPr>
            <w:r/>
            <w:r>
              <w:rPr xsi:nil="true"/>
              <w:t>100</w:t>
            </w:r>
          </w:p>
        </w:tc>
        <w:tc>
          <w:tcPr>
            <w:tcBorders/>
          </w:tcPr>
          <w:tcPr>
            <w:vAlign w:val="top"/>
          </w:tcPr>
          <w:p>
            <w:pPr>
              <w:jc w:val="center"/>
            </w:pPr>
            <w:r/>
            <w:r>
              <w:rPr xsi:nil="true"/>
              <w:t>7.29</w:t>
            </w:r>
          </w:p>
        </w:tc>
      </w:tr>
      <w:tr>
        <w:tc>
          <w:tcPr>
            <w:tcBorders/>
          </w:tcPr>
          <w:tcPr>
            <w:vAlign w:val="top"/>
          </w:tcPr>
          <w:p>
            <w:pPr>
              <w:jc w:val="left"/>
            </w:pPr>
            <w:r/>
            <w:r>
              <w:rPr xsi:nil="true"/>
              <w:t>Chuanguizhi (</w:t>
            </w:r>
            <w:r>
              <w:rPr xsi:nil="true">
                <w:i w:val="true"/>
              </w:rPr>
              <w:t>Cinnamomum wilsonii</w:t>
            </w:r>
            <w:r>
              <w:rPr xsi:nil="true"/>
              <w:t xml:space="preserve"> Gamble) + Fuzi (Aconiti Lateralis Radix Praeparata)</w:t>
            </w:r>
          </w:p>
        </w:tc>
        <w:tc>
          <w:tcPr>
            <w:tcBorders/>
          </w:tcPr>
          <w:tcPr>
            <w:vAlign w:val="top"/>
          </w:tcPr>
          <w:p>
            <w:pPr>
              <w:jc w:val="left"/>
            </w:pPr>
            <w:r/>
            <w:r>
              <w:rPr xsi:nil="true"/>
              <w:t>Tongue with a greasy coating</w:t>
            </w:r>
          </w:p>
        </w:tc>
        <w:tc>
          <w:tcPr>
            <w:tcBorders/>
          </w:tcPr>
          <w:tcPr>
            <w:vAlign w:val="top"/>
          </w:tcPr>
          <w:p>
            <w:pPr>
              <w:jc w:val="center"/>
            </w:pPr>
            <w:r/>
            <w:r>
              <w:rPr xsi:nil="true"/>
              <w:t>5.88</w:t>
            </w:r>
          </w:p>
        </w:tc>
        <w:tc>
          <w:tcPr>
            <w:tcBorders/>
          </w:tcPr>
          <w:tcPr>
            <w:vAlign w:val="top"/>
          </w:tcPr>
          <w:p>
            <w:pPr>
              <w:jc w:val="center"/>
            </w:pPr>
            <w:r/>
            <w:r>
              <w:rPr xsi:nil="true"/>
              <w:t>100</w:t>
            </w:r>
          </w:p>
        </w:tc>
        <w:tc>
          <w:tcPr>
            <w:tcBorders/>
          </w:tcPr>
          <w:tcPr>
            <w:vAlign w:val="top"/>
          </w:tcPr>
          <w:p>
            <w:pPr>
              <w:jc w:val="center"/>
            </w:pPr>
            <w:r/>
            <w:r>
              <w:rPr xsi:nil="true"/>
              <w:t>6.38</w:t>
            </w:r>
          </w:p>
        </w:tc>
      </w:tr>
      <w:tr>
        <w:tc>
          <w:tcPr>
            <w:tcBorders/>
          </w:tcPr>
          <w:tcPr>
            <w:vAlign w:val="top"/>
          </w:tcPr>
          <w:p>
            <w:pPr>
              <w:jc w:val="left"/>
            </w:pPr>
            <w:r/>
            <w:r>
              <w:rPr xsi:nil="true"/>
              <w:t>Chuanguizhi (</w:t>
            </w:r>
            <w:r>
              <w:rPr xsi:nil="true">
                <w:i w:val="true"/>
              </w:rPr>
              <w:t>Cinnamomum wilsonii</w:t>
            </w:r>
            <w:r>
              <w:rPr xsi:nil="true"/>
              <w:t xml:space="preserve"> Gamble) + Hongshen (Ginseng Radix et Rhizoma Rubra)</w:t>
            </w:r>
          </w:p>
        </w:tc>
        <w:tc>
          <w:tcPr>
            <w:tcBorders/>
          </w:tcPr>
          <w:tcPr>
            <w:vAlign w:val="top"/>
          </w:tcPr>
          <w:p>
            <w:pPr>
              <w:jc w:val="left"/>
            </w:pPr>
            <w:r/>
            <w:r>
              <w:rPr xsi:nil="true"/>
              <w:t>Tongue with a greasy coating</w:t>
            </w:r>
          </w:p>
        </w:tc>
        <w:tc>
          <w:tcPr>
            <w:tcBorders/>
          </w:tcPr>
          <w:tcPr>
            <w:vAlign w:val="top"/>
          </w:tcPr>
          <w:p>
            <w:pPr>
              <w:jc w:val="center"/>
            </w:pPr>
            <w:r/>
            <w:r>
              <w:rPr xsi:nil="true"/>
              <w:t>5.88</w:t>
            </w:r>
          </w:p>
        </w:tc>
        <w:tc>
          <w:tcPr>
            <w:tcBorders/>
          </w:tcPr>
          <w:tcPr>
            <w:vAlign w:val="top"/>
          </w:tcPr>
          <w:p>
            <w:pPr>
              <w:jc w:val="center"/>
            </w:pPr>
            <w:r/>
            <w:r>
              <w:rPr xsi:nil="true"/>
              <w:t>100</w:t>
            </w:r>
          </w:p>
        </w:tc>
        <w:tc>
          <w:tcPr>
            <w:tcBorders/>
          </w:tcPr>
          <w:tcPr>
            <w:vAlign w:val="top"/>
          </w:tcPr>
          <w:p>
            <w:pPr>
              <w:jc w:val="center"/>
            </w:pPr>
            <w:r/>
            <w:r>
              <w:rPr xsi:nil="true"/>
              <w:t>6.38</w:t>
            </w:r>
          </w:p>
        </w:tc>
      </w:tr>
      <w:tr>
        <w:tc>
          <w:tcPr>
            <w:tcBorders>
              <w:bottom w:val="basicThinLines"/>
            </w:tcBorders>
          </w:tcPr>
          <w:tcPr>
            <w:vAlign w:val="top"/>
          </w:tcPr>
          <w:p>
            <w:pPr>
              <w:jc w:val="left"/>
            </w:pPr>
            <w:r/>
            <w:r>
              <w:rPr xsi:nil="true"/>
              <w:t>Chuanguizhi (</w:t>
            </w:r>
            <w:r>
              <w:rPr xsi:nil="true">
                <w:i w:val="true"/>
              </w:rPr>
              <w:t>Cinnamomum wilsonii</w:t>
            </w:r>
            <w:r>
              <w:rPr xsi:nil="true"/>
              <w:t xml:space="preserve"> Gamble) + Jiugancao (Wine-processed Glycyrrhizae Radix et Rhizoma)</w:t>
            </w:r>
          </w:p>
        </w:tc>
        <w:tc>
          <w:tcPr>
            <w:tcBorders>
              <w:bottom w:val="basicThinLines"/>
            </w:tcBorders>
          </w:tcPr>
          <w:tcPr>
            <w:vAlign w:val="top"/>
          </w:tcPr>
          <w:p>
            <w:pPr>
              <w:jc w:val="left"/>
            </w:pPr>
            <w:r/>
            <w:r>
              <w:rPr xsi:nil="true"/>
              <w:t>Tongue with a greasy coating</w:t>
            </w:r>
          </w:p>
        </w:tc>
        <w:tc>
          <w:tcPr>
            <w:tcBorders>
              <w:bottom w:val="basicThinLines"/>
            </w:tcBorders>
          </w:tcPr>
          <w:tcPr>
            <w:vAlign w:val="top"/>
          </w:tcPr>
          <w:p>
            <w:pPr>
              <w:jc w:val="center"/>
            </w:pPr>
            <w:r/>
            <w:r>
              <w:rPr xsi:nil="true"/>
              <w:t>5.88</w:t>
            </w:r>
          </w:p>
        </w:tc>
        <w:tc>
          <w:tcPr>
            <w:tcBorders>
              <w:bottom w:val="basicThinLines"/>
            </w:tcBorders>
          </w:tcPr>
          <w:tcPr>
            <w:vAlign w:val="top"/>
          </w:tcPr>
          <w:p>
            <w:pPr>
              <w:jc w:val="center"/>
            </w:pPr>
            <w:r/>
            <w:r>
              <w:rPr xsi:nil="true"/>
              <w:t>100</w:t>
            </w:r>
          </w:p>
        </w:tc>
        <w:tc>
          <w:tcPr>
            <w:tcBorders>
              <w:bottom w:val="basicThinLines"/>
            </w:tcBorders>
          </w:tcPr>
          <w:tcPr>
            <w:vAlign w:val="top"/>
          </w:tcPr>
          <w:p>
            <w:pPr>
              <w:jc w:val="center"/>
            </w:pPr>
            <w:r/>
            <w:r>
              <w:rPr xsi:nil="true"/>
              <w:t>6.38</w:t>
            </w:r>
          </w:p>
        </w:tc>
      </w:tr>
    </w:tbl>
    <w:p>
      <w:pPr>
        <w:ind w:firstLine="420"/>
        <w:rPr>
          <w:rFonts w:ascii="Times New Roman" w:hAnsi="宋体"/>
          <w:sz w:val="24"/>
          <w:szCs w:val="24"/>
        </w:rPr>
      </w:pPr>
    </w:p>
    <w:p>
      <w:pPr>
        <w:ind w:firstLine="480" w:firstLineChars="200"/>
        <w:rPr>
          <w:rFonts w:ascii="Times New Roman" w:hAnsi="宋体"/>
          <w:sz w:val="24"/>
          <w:szCs w:val="24"/>
        </w:rPr>
      </w:pPr>
    </w:p>
    <w:p>
      <w:pPr>
        <w:spacing w:after="156" w:afterLines="50" w:line="360" w:lineRule="auto"/>
        <w:ind w:firstLine="482" w:firstLineChars="200"/>
        <w:jc w:val="center"/>
        <w:rPr>
          <w:rFonts w:ascii="Times New Roman" w:hAnsi="宋体"/>
          <w:sz w:val="24"/>
          <w:szCs w:val="24"/>
        </w:rPr>
      </w:pPr>
      <w:r>
        <w:rPr>
          <w:rFonts w:ascii="Times New Roman" w:hAnsi="宋体" w:hint="eastAsia"/>
          <w:b/>
          <w:bCs/>
          <w:sz w:val="24"/>
          <w:szCs w:val="24"/>
        </w:rPr>
        <w:t xml:space="preserve">Table 10 </w:t>
      </w:r>
      <w:r>
        <w:rPr>
          <w:rFonts w:ascii="Times New Roman" w:hAnsi="宋体" w:hint="eastAsia"/>
          <w:sz w:val="24"/>
          <w:szCs w:val="24"/>
        </w:rPr>
        <w:t xml:space="preserve"> Drug-symptom fourth-order associations</w:t>
      </w:r>
    </w:p>
    <w:tbl>
      <w:tblPr>
        <w:tblStyleColBandSize w:val="30"/>
        <w:tblW w:w="8300" w:type="dxa"/>
        <w:jc w:val="center"/>
        <w:tblBorders>
          <w:top w:val="single"/>
          <w:left w:val="single"/>
          <w:bottom w:val="single"/>
          <w:right w:val="single"/>
          <w:insideH w:val="none" w:sz="0" w:space="0" w:color=""/>
          <w:insideV w:val="none" w:sz="0" w:space="0" w:color=""/>
        </w:tblBorders>
        <w:tblBorders>
          <w:top xsi:nil="true"/>
          <w:left xsi:nil="true"/>
          <w:bottom xsi:nil="true"/>
          <w:right xsi:nil="true"/>
        </w:tblBorders>
        <w:tblCellMar>
          <w:top w:type="dxa" w:w="0"/>
          <w:left w:type="dxa" w:w="30"/>
          <w:bottom w:type="dxa" w:w="0"/>
          <w:right w:type="dxa" w:w="30"/>
        </w:tblCellMar>
      </w:tblPr>
      <w:tr>
        <w:tc>
          <w:tcPr>
            <w:tcBorders>
              <w:top w:val="basicThinLines"/>
            </w:tcBorders>
          </w:tcPr>
          <w:tcPr>
            <w:vAlign w:val="top"/>
          </w:tcPr>
          <w:p>
            <w:pPr>
              <w:jc w:val="center"/>
            </w:pPr>
            <w:r/>
            <w:r>
              <w:rPr xsi:nil="true">
                <w:b w:val="true"/>
              </w:rPr>
              <w:t>Antecedent</w:t>
            </w:r>
          </w:p>
        </w:tc>
        <w:tc>
          <w:tcPr>
            <w:tcBorders>
              <w:top w:val="basicThinLines"/>
            </w:tcBorders>
          </w:tcPr>
          <w:tcPr>
            <w:vAlign w:val="top"/>
          </w:tcPr>
          <w:p>
            <w:pPr>
              <w:jc w:val="center"/>
            </w:pPr>
            <w:r/>
            <w:r>
              <w:rPr xsi:nil="true">
                <w:b w:val="true"/>
              </w:rPr>
              <w:t>Succedent</w:t>
            </w:r>
          </w:p>
        </w:tc>
        <w:tc>
          <w:tcPr>
            <w:tcBorders>
              <w:top w:val="basicThinLines"/>
            </w:tcBorders>
          </w:tcPr>
          <w:tcPr>
            <w:vAlign w:val="top"/>
          </w:tcPr>
          <w:p>
            <w:pPr>
              <w:jc w:val="center"/>
            </w:pPr>
            <w:r/>
            <w:r>
              <w:rPr xsi:nil="true">
                <w:b w:val="true"/>
              </w:rPr>
              <w:t>Support (%)</w:t>
            </w:r>
          </w:p>
        </w:tc>
        <w:tc>
          <w:tcPr>
            <w:tcBorders>
              <w:top w:val="basicThinLines"/>
            </w:tcBorders>
          </w:tcPr>
          <w:tcPr>
            <w:vAlign w:val="top"/>
          </w:tcPr>
          <w:p>
            <w:pPr>
              <w:jc w:val="center"/>
            </w:pPr>
            <w:r/>
            <w:r>
              <w:rPr xsi:nil="true">
                <w:b w:val="true"/>
              </w:rPr>
              <w:t>Confidence (%)</w:t>
            </w:r>
          </w:p>
        </w:tc>
        <w:tc>
          <w:tcPr>
            <w:tcBorders>
              <w:top w:val="basicThinLines"/>
            </w:tcBorders>
          </w:tcPr>
          <w:tcPr>
            <w:vAlign w:val="top"/>
          </w:tcPr>
          <w:p>
            <w:pPr>
              <w:jc w:val="center"/>
            </w:pPr>
            <w:r/>
            <w:r>
              <w:rPr xsi:nil="true">
                <w:b w:val="true"/>
              </w:rPr>
              <w:t>Lift</w:t>
            </w:r>
          </w:p>
        </w:tc>
      </w:tr>
      <w:tr>
        <w:tc>
          <w:tcPr>
            <w:tcBorders>
              <w:top w:val="basicThinLines"/>
            </w:tcBorders>
          </w:tcPr>
          <w:tcPr>
            <w:vAlign w:val="top"/>
          </w:tcPr>
          <w:p>
            <w:pPr>
              <w:jc w:val="left"/>
            </w:pPr>
            <w:r/>
            <w:r>
              <w:rPr xsi:nil="true"/>
              <w:t>Guizhi (Cinnamomi Ramulus) + Jixueteng (Spatholobi Caulis) +Huangqi (Astragali Radix)</w:t>
            </w:r>
          </w:p>
        </w:tc>
        <w:tc>
          <w:tcPr>
            <w:tcBorders>
              <w:top w:val="basicThinLines"/>
            </w:tcBorders>
          </w:tcPr>
          <w:tcPr>
            <w:vAlign w:val="top"/>
          </w:tcPr>
          <w:p>
            <w:pPr>
              <w:jc w:val="left"/>
            </w:pPr>
            <w:r/>
            <w:r>
              <w:rPr xsi:nil="true"/>
              <w:t>Limb numbness and pain</w:t>
            </w:r>
          </w:p>
        </w:tc>
        <w:tc>
          <w:tcPr>
            <w:tcBorders>
              <w:top w:val="basicThinLines"/>
            </w:tcBorders>
          </w:tcPr>
          <w:tcPr>
            <w:vAlign w:val="top"/>
          </w:tcPr>
          <w:p>
            <w:pPr>
              <w:jc w:val="center"/>
            </w:pPr>
            <w:r/>
            <w:r>
              <w:rPr xsi:nil="true"/>
              <w:t xml:space="preserve">21.57  </w:t>
            </w:r>
          </w:p>
        </w:tc>
        <w:tc>
          <w:tcPr>
            <w:tcBorders>
              <w:top w:val="basicThinLines"/>
            </w:tcBorders>
          </w:tcPr>
          <w:tcPr>
            <w:vAlign w:val="top"/>
          </w:tcPr>
          <w:p>
            <w:pPr>
              <w:jc w:val="center"/>
            </w:pPr>
            <w:r/>
            <w:r>
              <w:rPr xsi:nil="true"/>
              <w:t>100.00</w:t>
            </w:r>
          </w:p>
        </w:tc>
        <w:tc>
          <w:tcPr>
            <w:tcBorders>
              <w:top w:val="basicThinLines"/>
            </w:tcBorders>
          </w:tcPr>
          <w:tcPr>
            <w:vAlign w:val="top"/>
          </w:tcPr>
          <w:p>
            <w:pPr>
              <w:jc w:val="center"/>
            </w:pPr>
            <w:r/>
            <w:r>
              <w:rPr xsi:nil="true"/>
              <w:t>2.04</w:t>
            </w:r>
          </w:p>
        </w:tc>
      </w:tr>
      <w:tr>
        <w:tc>
          <w:tcPr>
            <w:tcBorders/>
          </w:tcPr>
          <w:tcPr>
            <w:vAlign w:val="top"/>
          </w:tcPr>
          <w:p>
            <w:pPr>
              <w:jc w:val="left"/>
            </w:pPr>
            <w:r/>
            <w:r>
              <w:rPr xsi:nil="true"/>
              <w:t>Baishao (Paeoniae Radix Alba) + Guizhi (Cinnamomi Ramulus) +Jixueteng (Spatholobi Caulis)</w:t>
            </w:r>
          </w:p>
        </w:tc>
        <w:tc>
          <w:tcPr>
            <w:tcBorders/>
          </w:tcPr>
          <w:tcPr>
            <w:vAlign w:val="top"/>
          </w:tcPr>
          <w:p>
            <w:pPr>
              <w:jc w:val="left"/>
            </w:pPr>
            <w:r/>
            <w:r>
              <w:rPr xsi:nil="true"/>
              <w:t>Limb numbness and pain</w:t>
            </w:r>
          </w:p>
        </w:tc>
        <w:tc>
          <w:tcPr>
            <w:tcBorders/>
          </w:tcPr>
          <w:tcPr>
            <w:vAlign w:val="top"/>
          </w:tcPr>
          <w:p>
            <w:pPr>
              <w:jc w:val="center"/>
            </w:pPr>
            <w:r/>
            <w:r>
              <w:rPr xsi:nil="true"/>
              <w:t xml:space="preserve">15.69  </w:t>
            </w:r>
          </w:p>
        </w:tc>
        <w:tc>
          <w:tcPr>
            <w:tcBorders/>
          </w:tcPr>
          <w:tcPr>
            <w:vAlign w:val="top"/>
          </w:tcPr>
          <w:p>
            <w:pPr>
              <w:jc w:val="center"/>
            </w:pPr>
            <w:r/>
            <w:r>
              <w:rPr xsi:nil="true"/>
              <w:t>100.00</w:t>
            </w:r>
          </w:p>
        </w:tc>
        <w:tc>
          <w:tcPr>
            <w:tcBorders/>
          </w:tcPr>
          <w:tcPr>
            <w:vAlign w:val="top"/>
          </w:tcPr>
          <w:p>
            <w:pPr>
              <w:jc w:val="center"/>
            </w:pPr>
            <w:r/>
            <w:r>
              <w:rPr xsi:nil="true"/>
              <w:t>2.04</w:t>
            </w:r>
          </w:p>
        </w:tc>
      </w:tr>
      <w:tr>
        <w:tc>
          <w:tcPr>
            <w:tcBorders/>
          </w:tcPr>
          <w:tcPr>
            <w:vAlign w:val="top"/>
          </w:tcPr>
          <w:p>
            <w:pPr>
              <w:jc w:val="left"/>
            </w:pPr>
            <w:r/>
            <w:r>
              <w:rPr xsi:nil="true"/>
              <w:t>Zhichuanwu (Aconiti Radix Cocta) + Guizhi (Cinnamomi Ramulus) +Jixueteng (Spatholobi Caulis)</w:t>
            </w:r>
          </w:p>
        </w:tc>
        <w:tc>
          <w:tcPr>
            <w:tcBorders/>
          </w:tcPr>
          <w:tcPr>
            <w:vAlign w:val="top"/>
          </w:tcPr>
          <w:p>
            <w:pPr>
              <w:jc w:val="left"/>
            </w:pPr>
            <w:r/>
            <w:r>
              <w:rPr xsi:nil="true"/>
              <w:t>Limb numbness</w:t>
            </w:r>
            <w:r>
              <w:rPr xsi:nil="true"/>
              <w:t>and pain</w:t>
            </w:r>
          </w:p>
        </w:tc>
        <w:tc>
          <w:tcPr>
            <w:tcBorders/>
          </w:tcPr>
          <w:tcPr>
            <w:vAlign w:val="top"/>
          </w:tcPr>
          <w:p>
            <w:pPr>
              <w:jc w:val="center"/>
            </w:pPr>
            <w:r/>
            <w:r>
              <w:rPr xsi:nil="true"/>
              <w:t xml:space="preserve">15.69  </w:t>
            </w:r>
          </w:p>
        </w:tc>
        <w:tc>
          <w:tcPr>
            <w:tcBorders/>
          </w:tcPr>
          <w:tcPr>
            <w:vAlign w:val="top"/>
          </w:tcPr>
          <w:p>
            <w:pPr>
              <w:jc w:val="center"/>
            </w:pPr>
            <w:r/>
            <w:r>
              <w:rPr xsi:nil="true"/>
              <w:t>100.00</w:t>
            </w:r>
          </w:p>
        </w:tc>
        <w:tc>
          <w:tcPr>
            <w:tcBorders/>
          </w:tcPr>
          <w:tcPr>
            <w:vAlign w:val="top"/>
          </w:tcPr>
          <w:p>
            <w:pPr>
              <w:jc w:val="center"/>
            </w:pPr>
            <w:r/>
            <w:r>
              <w:rPr xsi:nil="true"/>
              <w:t>2.04</w:t>
            </w:r>
          </w:p>
        </w:tc>
      </w:tr>
      <w:tr>
        <w:tc>
          <w:tcPr>
            <w:tcBorders/>
          </w:tcPr>
          <w:tcPr>
            <w:vAlign w:val="top"/>
          </w:tcPr>
          <w:p>
            <w:pPr>
              <w:jc w:val="left"/>
            </w:pPr>
            <w:r/>
            <w:r>
              <w:rPr xsi:nil="true"/>
              <w:t>Zhichuanwu (Aconiti Radix Cocta) + Guizhi (Cinnamomi Ramulus) +Jiudahuang (Wine-processed Rhei Radix et Rhizoma)</w:t>
            </w:r>
          </w:p>
        </w:tc>
        <w:tc>
          <w:tcPr>
            <w:tcBorders/>
          </w:tcPr>
          <w:tcPr>
            <w:vAlign w:val="top"/>
          </w:tcPr>
          <w:p>
            <w:pPr>
              <w:jc w:val="left"/>
            </w:pPr>
            <w:r/>
            <w:r>
              <w:rPr xsi:nil="true"/>
              <w:t>Cold limbs</w:t>
            </w:r>
          </w:p>
        </w:tc>
        <w:tc>
          <w:tcPr>
            <w:tcBorders/>
          </w:tcPr>
          <w:tcPr>
            <w:vAlign w:val="top"/>
          </w:tcPr>
          <w:p>
            <w:pPr>
              <w:jc w:val="center"/>
            </w:pPr>
            <w:r/>
            <w:r>
              <w:rPr xsi:nil="true"/>
              <w:t>7.84</w:t>
            </w:r>
          </w:p>
        </w:tc>
        <w:tc>
          <w:tcPr>
            <w:tcBorders/>
          </w:tcPr>
          <w:tcPr>
            <w:vAlign w:val="top"/>
          </w:tcPr>
          <w:p>
            <w:pPr>
              <w:jc w:val="center"/>
            </w:pPr>
            <w:r/>
            <w:r>
              <w:rPr xsi:nil="true"/>
              <w:t>100.00</w:t>
            </w:r>
          </w:p>
        </w:tc>
        <w:tc>
          <w:tcPr>
            <w:tcBorders/>
          </w:tcPr>
          <w:tcPr>
            <w:vAlign w:val="top"/>
          </w:tcPr>
          <w:p>
            <w:pPr>
              <w:jc w:val="center"/>
            </w:pPr>
            <w:r/>
            <w:r>
              <w:rPr xsi:nil="true"/>
              <w:t>3.00</w:t>
            </w:r>
          </w:p>
        </w:tc>
      </w:tr>
      <w:tr>
        <w:tc>
          <w:tcPr>
            <w:tcBorders/>
          </w:tcPr>
          <w:tcPr>
            <w:vAlign w:val="top"/>
          </w:tcPr>
          <w:p>
            <w:pPr>
              <w:jc w:val="left"/>
            </w:pPr>
            <w:r/>
            <w:r>
              <w:rPr xsi:nil="true"/>
              <w:t>Baishao (Paeoniae Radix Alba) + Guizhi (Cinnamomi Ramulus) +Jiudahuang (Wine-processed Rhei Radix et Rhizoma)</w:t>
            </w:r>
          </w:p>
        </w:tc>
        <w:tc>
          <w:tcPr>
            <w:tcBorders/>
          </w:tcPr>
          <w:tcPr>
            <w:vAlign w:val="top"/>
          </w:tcPr>
          <w:p>
            <w:pPr>
              <w:jc w:val="left"/>
            </w:pPr>
            <w:r/>
            <w:r>
              <w:rPr xsi:nil="true"/>
              <w:t>Cold limbs</w:t>
            </w:r>
          </w:p>
        </w:tc>
        <w:tc>
          <w:tcPr>
            <w:tcBorders/>
          </w:tcPr>
          <w:tcPr>
            <w:vAlign w:val="top"/>
          </w:tcPr>
          <w:p>
            <w:pPr>
              <w:jc w:val="center"/>
            </w:pPr>
            <w:r/>
            <w:r>
              <w:rPr xsi:nil="true"/>
              <w:t>7.84</w:t>
            </w:r>
          </w:p>
        </w:tc>
        <w:tc>
          <w:tcPr>
            <w:tcBorders/>
          </w:tcPr>
          <w:tcPr>
            <w:vAlign w:val="top"/>
          </w:tcPr>
          <w:p>
            <w:pPr>
              <w:jc w:val="center"/>
            </w:pPr>
            <w:r/>
            <w:r>
              <w:rPr xsi:nil="true"/>
              <w:t>100.00</w:t>
            </w:r>
          </w:p>
        </w:tc>
        <w:tc>
          <w:tcPr>
            <w:tcBorders/>
          </w:tcPr>
          <w:tcPr>
            <w:vAlign w:val="top"/>
          </w:tcPr>
          <w:p>
            <w:pPr>
              <w:jc w:val="center"/>
            </w:pPr>
            <w:r/>
            <w:r>
              <w:rPr xsi:nil="true"/>
              <w:t>3.00</w:t>
            </w:r>
          </w:p>
        </w:tc>
      </w:tr>
      <w:tr>
        <w:tc>
          <w:tcPr>
            <w:tcBorders/>
          </w:tcPr>
          <w:tcPr>
            <w:vAlign w:val="top"/>
          </w:tcPr>
          <w:p>
            <w:pPr>
              <w:jc w:val="left"/>
            </w:pPr>
            <w:r/>
            <w:r>
              <w:rPr xsi:nil="true"/>
              <w:t>Guizhi (Cinnamomi Ramulus) + Jiudahuang (Wine-processed Rhei Radix et Rhizoma) + Huanglian (Coptidis Rhizoma)</w:t>
            </w:r>
          </w:p>
        </w:tc>
        <w:tc>
          <w:tcPr>
            <w:tcBorders/>
          </w:tcPr>
          <w:tcPr>
            <w:vAlign w:val="top"/>
          </w:tcPr>
          <w:p>
            <w:pPr>
              <w:jc w:val="left"/>
            </w:pPr>
            <w:r/>
            <w:r>
              <w:rPr xsi:nil="true"/>
              <w:t>Cold limbs</w:t>
            </w:r>
          </w:p>
        </w:tc>
        <w:tc>
          <w:tcPr>
            <w:tcBorders/>
          </w:tcPr>
          <w:tcPr>
            <w:vAlign w:val="top"/>
          </w:tcPr>
          <w:p>
            <w:pPr>
              <w:jc w:val="center"/>
            </w:pPr>
            <w:r/>
            <w:r>
              <w:rPr xsi:nil="true"/>
              <w:t>7.84</w:t>
            </w:r>
          </w:p>
        </w:tc>
        <w:tc>
          <w:tcPr>
            <w:tcBorders/>
          </w:tcPr>
          <w:tcPr>
            <w:vAlign w:val="top"/>
          </w:tcPr>
          <w:p>
            <w:pPr>
              <w:jc w:val="center"/>
            </w:pPr>
            <w:r/>
            <w:r>
              <w:rPr xsi:nil="true"/>
              <w:t>100.00</w:t>
            </w:r>
          </w:p>
        </w:tc>
        <w:tc>
          <w:tcPr>
            <w:tcBorders/>
          </w:tcPr>
          <w:tcPr>
            <w:vAlign w:val="top"/>
          </w:tcPr>
          <w:p>
            <w:pPr>
              <w:jc w:val="center"/>
            </w:pPr>
            <w:r/>
            <w:r>
              <w:rPr xsi:nil="true"/>
              <w:t>3.00</w:t>
            </w:r>
          </w:p>
        </w:tc>
      </w:tr>
      <w:tr>
        <w:tc>
          <w:tcPr>
            <w:tcBorders/>
          </w:tcPr>
          <w:tcPr>
            <w:vAlign w:val="top"/>
          </w:tcPr>
          <w:p>
            <w:pPr>
              <w:jc w:val="left"/>
            </w:pPr>
            <w:r/>
            <w:r>
              <w:rPr xsi:nil="true"/>
              <w:t>Zexie (Alismatis Rhizoma) + Shuizhifen (Hirudo powder) + Jiudahuang (Wine-processed Rhei Radix et Rhizoma)</w:t>
            </w:r>
          </w:p>
        </w:tc>
        <w:tc>
          <w:tcPr>
            <w:tcBorders/>
          </w:tcPr>
          <w:tcPr>
            <w:vAlign w:val="top"/>
          </w:tcPr>
          <w:p>
            <w:pPr>
              <w:jc w:val="left"/>
            </w:pPr>
            <w:r/>
            <w:r>
              <w:rPr xsi:nil="true"/>
              <w:t>Fatigue</w:t>
            </w:r>
          </w:p>
        </w:tc>
        <w:tc>
          <w:tcPr>
            <w:tcBorders/>
          </w:tcPr>
          <w:tcPr>
            <w:vAlign w:val="top"/>
          </w:tcPr>
          <w:p>
            <w:pPr>
              <w:jc w:val="center"/>
            </w:pPr>
            <w:r/>
            <w:r>
              <w:rPr xsi:nil="true"/>
              <w:t>7.84</w:t>
            </w:r>
          </w:p>
        </w:tc>
        <w:tc>
          <w:tcPr>
            <w:tcBorders/>
          </w:tcPr>
          <w:tcPr>
            <w:vAlign w:val="top"/>
          </w:tcPr>
          <w:p>
            <w:pPr>
              <w:jc w:val="center"/>
            </w:pPr>
            <w:r/>
            <w:r>
              <w:rPr xsi:nil="true"/>
              <w:t>100.00</w:t>
            </w:r>
          </w:p>
        </w:tc>
        <w:tc>
          <w:tcPr>
            <w:tcBorders/>
          </w:tcPr>
          <w:tcPr>
            <w:vAlign w:val="top"/>
          </w:tcPr>
          <w:p>
            <w:pPr>
              <w:jc w:val="center"/>
            </w:pPr>
            <w:r/>
            <w:r>
              <w:rPr xsi:nil="true"/>
              <w:t>2.68</w:t>
            </w:r>
          </w:p>
        </w:tc>
      </w:tr>
      <w:tr>
        <w:tc>
          <w:tcPr>
            <w:tcBorders/>
          </w:tcPr>
          <w:tcPr>
            <w:vAlign w:val="top"/>
          </w:tcPr>
          <w:p>
            <w:pPr>
              <w:jc w:val="left"/>
            </w:pPr>
            <w:r/>
            <w:r>
              <w:rPr xsi:nil="true"/>
              <w:t>Zexie (Alismatis Rhizoma) + Shuizhifen (Hirudo powder) + Huangqi (Astragali Radix)</w:t>
            </w:r>
          </w:p>
        </w:tc>
        <w:tc>
          <w:tcPr>
            <w:tcBorders/>
          </w:tcPr>
          <w:tcPr>
            <w:vAlign w:val="top"/>
          </w:tcPr>
          <w:p>
            <w:pPr>
              <w:jc w:val="left"/>
            </w:pPr>
            <w:r/>
            <w:r>
              <w:rPr xsi:nil="true"/>
              <w:t>Fatigue</w:t>
            </w:r>
          </w:p>
        </w:tc>
        <w:tc>
          <w:tcPr>
            <w:tcBorders/>
          </w:tcPr>
          <w:tcPr>
            <w:vAlign w:val="top"/>
          </w:tcPr>
          <w:p>
            <w:pPr>
              <w:jc w:val="center"/>
            </w:pPr>
            <w:r/>
            <w:r>
              <w:rPr xsi:nil="true"/>
              <w:t>7.84</w:t>
            </w:r>
          </w:p>
        </w:tc>
        <w:tc>
          <w:tcPr>
            <w:tcBorders/>
          </w:tcPr>
          <w:tcPr>
            <w:vAlign w:val="top"/>
          </w:tcPr>
          <w:p>
            <w:pPr>
              <w:jc w:val="center"/>
            </w:pPr>
            <w:r/>
            <w:r>
              <w:rPr xsi:nil="true"/>
              <w:t>100.00</w:t>
            </w:r>
          </w:p>
        </w:tc>
        <w:tc>
          <w:tcPr>
            <w:tcBorders/>
          </w:tcPr>
          <w:tcPr>
            <w:vAlign w:val="top"/>
          </w:tcPr>
          <w:p>
            <w:pPr>
              <w:jc w:val="center"/>
            </w:pPr>
            <w:r/>
            <w:r>
              <w:rPr xsi:nil="true"/>
              <w:t>2.68</w:t>
            </w:r>
          </w:p>
        </w:tc>
      </w:tr>
      <w:tr>
        <w:tc>
          <w:tcPr>
            <w:tcBorders/>
          </w:tcPr>
          <w:tcPr>
            <w:vAlign w:val="top"/>
          </w:tcPr>
          <w:p>
            <w:pPr>
              <w:jc w:val="left"/>
            </w:pPr>
            <w:r/>
            <w:r>
              <w:rPr xsi:nil="true"/>
              <w:t>Zexie (Alismatis Rhizoma) + Jiudahuang (Wine-processed Rhei Radix et Rhizoma) + Huangqi (Astragali Radix)</w:t>
            </w:r>
          </w:p>
        </w:tc>
        <w:tc>
          <w:tcPr>
            <w:tcBorders/>
          </w:tcPr>
          <w:tcPr>
            <w:vAlign w:val="top"/>
          </w:tcPr>
          <w:p>
            <w:pPr>
              <w:jc w:val="left"/>
            </w:pPr>
            <w:r/>
            <w:r>
              <w:rPr xsi:nil="true"/>
              <w:t>Fatigue</w:t>
            </w:r>
          </w:p>
        </w:tc>
        <w:tc>
          <w:tcPr>
            <w:tcBorders/>
          </w:tcPr>
          <w:tcPr>
            <w:vAlign w:val="top"/>
          </w:tcPr>
          <w:p>
            <w:pPr>
              <w:jc w:val="center"/>
            </w:pPr>
            <w:r/>
            <w:r>
              <w:rPr xsi:nil="true"/>
              <w:t>7.84</w:t>
            </w:r>
          </w:p>
        </w:tc>
        <w:tc>
          <w:tcPr>
            <w:tcBorders/>
          </w:tcPr>
          <w:tcPr>
            <w:vAlign w:val="top"/>
          </w:tcPr>
          <w:p>
            <w:pPr>
              <w:jc w:val="center"/>
            </w:pPr>
            <w:r/>
            <w:r>
              <w:rPr xsi:nil="true"/>
              <w:t>100.00</w:t>
            </w:r>
          </w:p>
        </w:tc>
        <w:tc>
          <w:tcPr>
            <w:tcBorders/>
          </w:tcPr>
          <w:tcPr>
            <w:vAlign w:val="top"/>
          </w:tcPr>
          <w:p>
            <w:pPr>
              <w:jc w:val="center"/>
            </w:pPr>
            <w:r/>
            <w:r>
              <w:rPr xsi:nil="true"/>
              <w:t>2.68</w:t>
            </w:r>
          </w:p>
        </w:tc>
      </w:tr>
      <w:tr>
        <w:tc>
          <w:tcPr>
            <w:tcBorders/>
          </w:tcPr>
          <w:tcPr>
            <w:vAlign w:val="top"/>
          </w:tcPr>
          <w:p>
            <w:pPr>
              <w:jc w:val="left"/>
            </w:pPr>
            <w:r/>
            <w:r>
              <w:rPr xsi:nil="true"/>
              <w:t>Chaosuanzaoren (Parched Ziziphi Spinosae Semen) + Duanlonggu (Fossilia Ossia Mastodi) + Duanmuli (Calcined Ostreae Concha)</w:t>
            </w:r>
          </w:p>
        </w:tc>
        <w:tc>
          <w:tcPr>
            <w:tcBorders/>
          </w:tcPr>
          <w:tcPr>
            <w:vAlign w:val="top"/>
          </w:tcPr>
          <w:p>
            <w:pPr>
              <w:jc w:val="left"/>
            </w:pPr>
            <w:r/>
            <w:r>
              <w:rPr xsi:nil="true"/>
              <w:t>Insomnia</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5.10</w:t>
            </w:r>
          </w:p>
        </w:tc>
      </w:tr>
      <w:tr>
        <w:tc>
          <w:tcPr>
            <w:tcBorders/>
          </w:tcPr>
          <w:tcPr>
            <w:vAlign w:val="top"/>
          </w:tcPr>
          <w:p>
            <w:pPr>
              <w:jc w:val="left"/>
            </w:pPr>
            <w:r/>
            <w:r>
              <w:rPr xsi:nil="true"/>
              <w:t>Chaosuanzaoren (Parched Ziziphi Spinosae Semen) + Duanlonggu (Fossilia Ossia Mastodi) + Wuweizi (Schisandrae Chinensis Fructus)</w:t>
            </w:r>
          </w:p>
        </w:tc>
        <w:tc>
          <w:tcPr>
            <w:tcBorders/>
          </w:tcPr>
          <w:tcPr>
            <w:vAlign w:val="top"/>
          </w:tcPr>
          <w:p>
            <w:pPr>
              <w:jc w:val="left"/>
            </w:pPr>
            <w:r/>
            <w:r>
              <w:rPr xsi:nil="true"/>
              <w:t>Insomnia</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5.10</w:t>
            </w:r>
          </w:p>
        </w:tc>
      </w:tr>
      <w:tr>
        <w:tc>
          <w:tcPr>
            <w:tcBorders/>
          </w:tcPr>
          <w:tcPr>
            <w:vAlign w:val="top"/>
          </w:tcPr>
          <w:p>
            <w:pPr>
              <w:jc w:val="left"/>
            </w:pPr>
            <w:r/>
            <w:r>
              <w:rPr xsi:nil="true"/>
              <w:t>Chaosuanzaoren (Parched Ziziphi Spinosae Semen) + Duanlonggu (Fossilia Ossia Mastodi) + Huanglian (Coptidis Rhizoma)</w:t>
            </w:r>
          </w:p>
        </w:tc>
        <w:tc>
          <w:tcPr>
            <w:tcBorders/>
          </w:tcPr>
          <w:tcPr>
            <w:vAlign w:val="top"/>
          </w:tcPr>
          <w:p>
            <w:pPr>
              <w:jc w:val="left"/>
            </w:pPr>
            <w:r/>
            <w:r>
              <w:rPr xsi:nil="true"/>
              <w:t>Insomnia</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5.10</w:t>
            </w:r>
          </w:p>
        </w:tc>
      </w:tr>
      <w:tr>
        <w:tc>
          <w:tcPr>
            <w:tcBorders/>
          </w:tcPr>
          <w:tcPr>
            <w:vAlign w:val="top"/>
          </w:tcPr>
          <w:p>
            <w:pPr>
              <w:jc w:val="left"/>
            </w:pPr>
            <w:r/>
            <w:r>
              <w:rPr xsi:nil="true"/>
              <w:t>Chuanguizhi (</w:t>
            </w:r>
            <w:r>
              <w:rPr xsi:nil="true">
                <w:i w:val="true"/>
              </w:rPr>
              <w:t>Cinnamomum wilsonii</w:t>
            </w:r>
            <w:r>
              <w:rPr xsi:nil="true"/>
              <w:t xml:space="preserve"> Gamble) + Fuzi (Aconiti Lateralis Radix Praeparata) + Hongshen (Ginseng Radix et Rhizoma Rubra)</w:t>
            </w:r>
          </w:p>
        </w:tc>
        <w:tc>
          <w:tcPr>
            <w:tcBorders/>
          </w:tcPr>
          <w:tcPr>
            <w:vAlign w:val="top"/>
          </w:tcPr>
          <w:p>
            <w:pPr>
              <w:jc w:val="left"/>
            </w:pPr>
            <w:r/>
            <w:r>
              <w:rPr xsi:nil="true"/>
              <w:t>Polyuria</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3.64</w:t>
            </w:r>
          </w:p>
        </w:tc>
      </w:tr>
      <w:tr>
        <w:tc>
          <w:tcPr>
            <w:tcBorders/>
          </w:tcPr>
          <w:tcPr>
            <w:vAlign w:val="top"/>
          </w:tcPr>
          <w:p>
            <w:pPr>
              <w:jc w:val="left"/>
            </w:pPr>
            <w:r/>
            <w:r>
              <w:rPr xsi:nil="true"/>
              <w:t>Chuanguizhi (</w:t>
            </w:r>
            <w:r>
              <w:rPr xsi:nil="true">
                <w:i w:val="true"/>
              </w:rPr>
              <w:t>Cinnamomum wilsonii</w:t>
            </w:r>
            <w:r>
              <w:rPr xsi:nil="true"/>
              <w:t xml:space="preserve"> Gamble) + Fuzi (Aconiti Lateralis Radix Praeparata) + Jiugancao (Radix Glycyrrhizae Preparata)</w:t>
            </w:r>
          </w:p>
        </w:tc>
        <w:tc>
          <w:tcPr>
            <w:tcBorders/>
          </w:tcPr>
          <w:tcPr>
            <w:vAlign w:val="top"/>
          </w:tcPr>
          <w:p>
            <w:pPr>
              <w:jc w:val="left"/>
            </w:pPr>
            <w:r/>
            <w:r>
              <w:rPr xsi:nil="true"/>
              <w:t>Polyuria</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3.64</w:t>
            </w:r>
          </w:p>
        </w:tc>
      </w:tr>
      <w:tr>
        <w:tc>
          <w:tcPr>
            <w:tcBorders/>
          </w:tcPr>
          <w:tcPr>
            <w:vAlign w:val="top"/>
          </w:tcPr>
          <w:p>
            <w:pPr>
              <w:jc w:val="left"/>
            </w:pPr>
            <w:r/>
            <w:r>
              <w:rPr xsi:nil="true"/>
              <w:t>Chuanguizhi (</w:t>
            </w:r>
            <w:r>
              <w:rPr xsi:nil="true">
                <w:i w:val="true"/>
              </w:rPr>
              <w:t>Cinnamomum wilsonii</w:t>
            </w:r>
            <w:r>
              <w:rPr xsi:nil="true"/>
              <w:t xml:space="preserve"> Gamble) + Fuzi (Aconiti Lateralis Radix Praeparata) + Yunfuling (</w:t>
            </w:r>
            <w:r>
              <w:rPr xsi:nil="true">
                <w:i w:val="true"/>
              </w:rPr>
              <w:t>Wolfiporia extensa</w:t>
            </w:r>
            <w:r>
              <w:rPr xsi:nil="true"/>
              <w:t>)</w:t>
            </w:r>
          </w:p>
        </w:tc>
        <w:tc>
          <w:tcPr>
            <w:tcBorders/>
          </w:tcPr>
          <w:tcPr>
            <w:vAlign w:val="top"/>
          </w:tcPr>
          <w:p>
            <w:pPr>
              <w:jc w:val="left"/>
            </w:pPr>
            <w:r/>
            <w:r>
              <w:rPr xsi:nil="true"/>
              <w:t>Polyuria</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3.64</w:t>
            </w:r>
          </w:p>
        </w:tc>
      </w:tr>
      <w:tr>
        <w:tc>
          <w:tcPr>
            <w:tcBorders/>
          </w:tcPr>
          <w:tcPr>
            <w:vAlign w:val="top"/>
          </w:tcPr>
          <w:p>
            <w:pPr>
              <w:jc w:val="left"/>
            </w:pPr>
            <w:r/>
            <w:r>
              <w:rPr xsi:nil="true"/>
              <w:t>Heye (Nelumbinis Folium) + Sanqi (Notoginseng Radix et Rhizoma) +Ganjiang (Zingiberis Rhizoma)</w:t>
            </w:r>
          </w:p>
        </w:tc>
        <w:tc>
          <w:tcPr>
            <w:tcBorders/>
          </w:tcPr>
          <w:tcPr>
            <w:vAlign w:val="top"/>
          </w:tcPr>
          <w:p>
            <w:pPr>
              <w:jc w:val="left"/>
            </w:pPr>
            <w:r/>
            <w:r>
              <w:rPr xsi:nil="true"/>
              <w:t>Blocked bottom of tongue</w:t>
            </w:r>
          </w:p>
        </w:tc>
        <w:tc>
          <w:tcPr>
            <w:tcBorders/>
          </w:tcPr>
          <w:tcPr>
            <w:vAlign w:val="top"/>
          </w:tcPr>
          <w:p>
            <w:pPr>
              <w:jc w:val="center"/>
            </w:pPr>
            <w:r/>
            <w:r>
              <w:rPr xsi:nil="true"/>
              <w:t>9.80</w:t>
            </w:r>
          </w:p>
        </w:tc>
        <w:tc>
          <w:tcPr>
            <w:tcBorders/>
          </w:tcPr>
          <w:tcPr>
            <w:vAlign w:val="top"/>
          </w:tcPr>
          <w:p>
            <w:pPr>
              <w:jc w:val="center"/>
            </w:pPr>
            <w:r/>
            <w:r>
              <w:rPr xsi:nil="true"/>
              <w:t>100.00</w:t>
            </w:r>
          </w:p>
        </w:tc>
        <w:tc>
          <w:tcPr>
            <w:tcBorders/>
          </w:tcPr>
          <w:tcPr>
            <w:vAlign w:val="top"/>
          </w:tcPr>
          <w:p>
            <w:pPr>
              <w:jc w:val="center"/>
            </w:pPr>
            <w:r/>
            <w:r>
              <w:rPr xsi:nil="true"/>
              <w:t>2.13</w:t>
            </w:r>
          </w:p>
        </w:tc>
      </w:tr>
      <w:tr>
        <w:tc>
          <w:tcPr>
            <w:tcBorders/>
          </w:tcPr>
          <w:tcPr>
            <w:vAlign w:val="top"/>
          </w:tcPr>
          <w:p>
            <w:pPr>
              <w:jc w:val="left"/>
            </w:pPr>
            <w:r/>
            <w:r>
              <w:rPr xsi:nil="true"/>
              <w:t>Heye (Nelumbinis Folium) + Sanqi (Notoginseng Radix et Rhizoma) +Huangqi (Astragali Radix)</w:t>
            </w:r>
          </w:p>
        </w:tc>
        <w:tc>
          <w:tcPr>
            <w:tcBorders/>
          </w:tcPr>
          <w:tcPr>
            <w:vAlign w:val="top"/>
          </w:tcPr>
          <w:p>
            <w:pPr>
              <w:jc w:val="left"/>
            </w:pPr>
            <w:r/>
            <w:r>
              <w:rPr xsi:nil="true"/>
              <w:t>Blocked bottom of tongue</w:t>
            </w:r>
          </w:p>
        </w:tc>
        <w:tc>
          <w:tcPr>
            <w:tcBorders/>
          </w:tcPr>
          <w:tcPr>
            <w:vAlign w:val="top"/>
          </w:tcPr>
          <w:p>
            <w:pPr>
              <w:jc w:val="center"/>
            </w:pPr>
            <w:r/>
            <w:r>
              <w:rPr xsi:nil="true"/>
              <w:t>9.80</w:t>
            </w:r>
          </w:p>
        </w:tc>
        <w:tc>
          <w:tcPr>
            <w:tcBorders/>
          </w:tcPr>
          <w:tcPr>
            <w:vAlign w:val="top"/>
          </w:tcPr>
          <w:p>
            <w:pPr>
              <w:jc w:val="center"/>
            </w:pPr>
            <w:r/>
            <w:r>
              <w:rPr xsi:nil="true"/>
              <w:t>100.00</w:t>
            </w:r>
          </w:p>
        </w:tc>
        <w:tc>
          <w:tcPr>
            <w:tcBorders/>
          </w:tcPr>
          <w:tcPr>
            <w:vAlign w:val="top"/>
          </w:tcPr>
          <w:p>
            <w:pPr>
              <w:jc w:val="center"/>
            </w:pPr>
            <w:r/>
            <w:r>
              <w:rPr xsi:nil="true"/>
              <w:t>2.13</w:t>
            </w:r>
          </w:p>
        </w:tc>
      </w:tr>
      <w:tr>
        <w:tc>
          <w:tcPr>
            <w:tcBorders/>
          </w:tcPr>
          <w:tcPr>
            <w:vAlign w:val="top"/>
          </w:tcPr>
          <w:p>
            <w:pPr>
              <w:jc w:val="left"/>
            </w:pPr>
            <w:r/>
            <w:r>
              <w:rPr xsi:nil="true"/>
              <w:t>Heye (Nelumbinis Folium) + Sanqi (Notoginseng Radix et Rhizoma) +Huanglian (Coptidis Rhizoma)</w:t>
            </w:r>
          </w:p>
        </w:tc>
        <w:tc>
          <w:tcPr>
            <w:tcBorders/>
          </w:tcPr>
          <w:tcPr>
            <w:vAlign w:val="top"/>
          </w:tcPr>
          <w:p>
            <w:pPr>
              <w:jc w:val="left"/>
            </w:pPr>
            <w:r/>
            <w:r>
              <w:rPr xsi:nil="true"/>
              <w:t>Blocked bottom of tongue</w:t>
            </w:r>
          </w:p>
        </w:tc>
        <w:tc>
          <w:tcPr>
            <w:tcBorders/>
          </w:tcPr>
          <w:tcPr>
            <w:vAlign w:val="top"/>
          </w:tcPr>
          <w:p>
            <w:pPr>
              <w:jc w:val="center"/>
            </w:pPr>
            <w:r/>
            <w:r>
              <w:rPr xsi:nil="true"/>
              <w:t>9.80</w:t>
            </w:r>
          </w:p>
        </w:tc>
        <w:tc>
          <w:tcPr>
            <w:tcBorders/>
          </w:tcPr>
          <w:tcPr>
            <w:vAlign w:val="top"/>
          </w:tcPr>
          <w:p>
            <w:pPr>
              <w:jc w:val="center"/>
            </w:pPr>
            <w:r/>
            <w:r>
              <w:rPr xsi:nil="true"/>
              <w:t>100.00</w:t>
            </w:r>
          </w:p>
        </w:tc>
        <w:tc>
          <w:tcPr>
            <w:tcBorders/>
          </w:tcPr>
          <w:tcPr>
            <w:vAlign w:val="top"/>
          </w:tcPr>
          <w:p>
            <w:pPr>
              <w:jc w:val="center"/>
            </w:pPr>
            <w:r/>
            <w:r>
              <w:rPr xsi:nil="true"/>
              <w:t>2.13</w:t>
            </w:r>
          </w:p>
        </w:tc>
      </w:tr>
      <w:tr>
        <w:tc>
          <w:tcPr>
            <w:tcBorders/>
          </w:tcPr>
          <w:tcPr>
            <w:vAlign w:val="top"/>
          </w:tcPr>
          <w:p>
            <w:pPr>
              <w:jc w:val="left"/>
            </w:pPr>
            <w:r/>
            <w:r>
              <w:rPr xsi:nil="true"/>
              <w:t>Dangshen (Codonopsis Radix) + Wumei (Mume Fructus) + Huangbo (</w:t>
            </w:r>
            <w:r>
              <w:rPr xsi:nil="true">
                <w:i w:val="true"/>
              </w:rPr>
              <w:t>Phellodendron chinense</w:t>
            </w:r>
            <w:r>
              <w:rPr xsi:nil="true"/>
              <w:t xml:space="preserve"> Schneid.)</w:t>
            </w:r>
          </w:p>
        </w:tc>
        <w:tc>
          <w:tcPr>
            <w:tcBorders/>
          </w:tcPr>
          <w:tcPr>
            <w:vAlign w:val="top"/>
          </w:tcPr>
          <w:p>
            <w:pPr>
              <w:jc w:val="left"/>
            </w:pPr>
            <w:r/>
            <w:r>
              <w:rPr xsi:nil="true"/>
              <w:t>Enlarged and pale tongue body</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8.50</w:t>
            </w:r>
          </w:p>
        </w:tc>
      </w:tr>
      <w:tr>
        <w:tc>
          <w:tcPr>
            <w:tcBorders/>
          </w:tcPr>
          <w:tcPr>
            <w:vAlign w:val="top"/>
          </w:tcPr>
          <w:p>
            <w:pPr>
              <w:jc w:val="left"/>
            </w:pPr>
            <w:r/>
            <w:r>
              <w:rPr xsi:nil="true"/>
              <w:t>Dangshen (Codonopsis Radix) + Wumei (Mume Fructus) + Danggui (Angelica sinensis)</w:t>
            </w:r>
          </w:p>
        </w:tc>
        <w:tc>
          <w:tcPr>
            <w:tcBorders/>
          </w:tcPr>
          <w:tcPr>
            <w:vAlign w:val="top"/>
          </w:tcPr>
          <w:p>
            <w:pPr>
              <w:jc w:val="left"/>
            </w:pPr>
            <w:r/>
            <w:r>
              <w:rPr xsi:nil="true"/>
              <w:t>Enlarged and pale tongue body</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8.50</w:t>
            </w:r>
          </w:p>
        </w:tc>
      </w:tr>
      <w:tr>
        <w:tc>
          <w:tcPr>
            <w:tcBorders/>
          </w:tcPr>
          <w:tcPr>
            <w:vAlign w:val="top"/>
          </w:tcPr>
          <w:p>
            <w:pPr>
              <w:jc w:val="left"/>
            </w:pPr>
            <w:r/>
            <w:r>
              <w:rPr xsi:nil="true"/>
              <w:t>Dangshen (Codonopsis Radix) + Wumei (Mume Fructus) + Ganjiang (Zingiberis Rhizoma)</w:t>
            </w:r>
          </w:p>
        </w:tc>
        <w:tc>
          <w:tcPr>
            <w:tcBorders/>
          </w:tcPr>
          <w:tcPr>
            <w:vAlign w:val="top"/>
          </w:tcPr>
          <w:p>
            <w:pPr>
              <w:jc w:val="left"/>
            </w:pPr>
            <w:r/>
            <w:r>
              <w:rPr xsi:nil="true"/>
              <w:t>Enlarged and pale tongue body</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8.50</w:t>
            </w:r>
          </w:p>
        </w:tc>
      </w:tr>
      <w:tr>
        <w:tc>
          <w:tcPr>
            <w:tcBorders/>
          </w:tcPr>
          <w:tcPr>
            <w:vAlign w:val="top"/>
          </w:tcPr>
          <w:p>
            <w:pPr>
              <w:jc w:val="left"/>
            </w:pPr>
            <w:r/>
            <w:r>
              <w:rPr xsi:nil="true"/>
              <w:t>Chaosuanzaoren (Parched Ziziphi Spinosae Semen) + Duanlonggu (Fossilia Ossia Mastodi) + Duanmuli (Calcined Ostreae Concha)</w:t>
            </w:r>
          </w:p>
        </w:tc>
        <w:tc>
          <w:tcPr>
            <w:tcBorders/>
          </w:tcPr>
          <w:tcPr>
            <w:vAlign w:val="top"/>
          </w:tcPr>
          <w:p>
            <w:pPr>
              <w:jc w:val="left"/>
            </w:pPr>
            <w:r/>
            <w:r>
              <w:rPr xsi:nil="true"/>
              <w:t>Dark red tongue body</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5.67</w:t>
            </w:r>
          </w:p>
        </w:tc>
      </w:tr>
      <w:tr>
        <w:tc>
          <w:tcPr>
            <w:tcBorders/>
          </w:tcPr>
          <w:tcPr>
            <w:vAlign w:val="top"/>
          </w:tcPr>
          <w:p>
            <w:pPr>
              <w:jc w:val="left"/>
            </w:pPr>
            <w:r/>
            <w:r>
              <w:rPr xsi:nil="true"/>
              <w:t>Chaosuanzaoren (Parched Ziziphi Spinosae Semen) + Duanlonggu (Fossilia Ossia Mastodi) + Wuweizi (Schisandrae Chinensis Fructus)</w:t>
            </w:r>
          </w:p>
        </w:tc>
        <w:tc>
          <w:tcPr>
            <w:tcBorders/>
          </w:tcPr>
          <w:tcPr>
            <w:vAlign w:val="top"/>
          </w:tcPr>
          <w:p>
            <w:pPr>
              <w:jc w:val="left"/>
            </w:pPr>
            <w:r/>
            <w:r>
              <w:rPr xsi:nil="true"/>
              <w:t>Dark red tongue body</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5.67</w:t>
            </w:r>
          </w:p>
        </w:tc>
      </w:tr>
      <w:tr>
        <w:tc>
          <w:tcPr>
            <w:tcBorders/>
          </w:tcPr>
          <w:tcPr>
            <w:vAlign w:val="top"/>
          </w:tcPr>
          <w:p>
            <w:pPr>
              <w:jc w:val="left"/>
            </w:pPr>
            <w:r/>
            <w:r>
              <w:rPr xsi:nil="true"/>
              <w:t>Chaosuanzaoren (Parched Ziziphi Spinosae Semen) + Duanlonggu (Fossilia Ossia Mastodi) + Huanglian (Coptidis Rhizoma)</w:t>
            </w:r>
          </w:p>
        </w:tc>
        <w:tc>
          <w:tcPr>
            <w:tcBorders/>
          </w:tcPr>
          <w:tcPr>
            <w:vAlign w:val="top"/>
          </w:tcPr>
          <w:p>
            <w:pPr>
              <w:jc w:val="left"/>
            </w:pPr>
            <w:r/>
            <w:r>
              <w:rPr xsi:nil="true"/>
              <w:t>Dark red tongue body</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5.67</w:t>
            </w:r>
          </w:p>
        </w:tc>
      </w:tr>
      <w:tr>
        <w:tc>
          <w:tcPr>
            <w:tcBorders/>
          </w:tcPr>
          <w:tcPr>
            <w:vAlign w:val="top"/>
          </w:tcPr>
          <w:p>
            <w:pPr>
              <w:jc w:val="left"/>
            </w:pPr>
            <w:r/>
            <w:r>
              <w:rPr xsi:nil="true"/>
              <w:t>Jiugancao (Radix Glycyrrhizae Preparata) + Shengjiang (Zingiberis Rhizoma Recens) + Huanglian (Coptidis Rhizoma)</w:t>
            </w:r>
          </w:p>
        </w:tc>
        <w:tc>
          <w:tcPr>
            <w:tcBorders/>
          </w:tcPr>
          <w:tcPr>
            <w:vAlign w:val="top"/>
          </w:tcPr>
          <w:p>
            <w:pPr>
              <w:jc w:val="left"/>
            </w:pPr>
            <w:r/>
            <w:r>
              <w:rPr xsi:nil="true"/>
              <w:t>Deep and rapid pulse</w:t>
            </w:r>
          </w:p>
        </w:tc>
        <w:tc>
          <w:tcPr>
            <w:tcBorders/>
          </w:tcPr>
          <w:tcPr>
            <w:vAlign w:val="top"/>
          </w:tcPr>
          <w:p>
            <w:pPr>
              <w:jc w:val="center"/>
            </w:pPr>
            <w:r/>
            <w:r>
              <w:rPr xsi:nil="true"/>
              <w:t>7.84</w:t>
            </w:r>
          </w:p>
        </w:tc>
        <w:tc>
          <w:tcPr>
            <w:tcBorders/>
          </w:tcPr>
          <w:tcPr>
            <w:vAlign w:val="top"/>
          </w:tcPr>
          <w:p>
            <w:pPr>
              <w:jc w:val="center"/>
            </w:pPr>
            <w:r/>
            <w:r>
              <w:rPr xsi:nil="true"/>
              <w:t>100.00</w:t>
            </w:r>
          </w:p>
        </w:tc>
        <w:tc>
          <w:tcPr>
            <w:tcBorders/>
          </w:tcPr>
          <w:tcPr>
            <w:vAlign w:val="top"/>
          </w:tcPr>
          <w:p>
            <w:pPr>
              <w:jc w:val="center"/>
            </w:pPr>
            <w:r/>
            <w:r>
              <w:rPr xsi:nil="true"/>
              <w:t>7.29</w:t>
            </w:r>
          </w:p>
        </w:tc>
      </w:tr>
      <w:tr>
        <w:tc>
          <w:tcPr>
            <w:tcBorders/>
          </w:tcPr>
          <w:tcPr>
            <w:vAlign w:val="top"/>
          </w:tcPr>
          <w:p>
            <w:pPr>
              <w:jc w:val="left"/>
            </w:pPr>
            <w:r/>
            <w:r>
              <w:rPr xsi:nil="true"/>
              <w:t>Zhichuanwu (Aconiti Radix Cocta) + Guizhi (Cinnamomi Ramulus) +Jiudahuang (Wine-processed Rhei Radix et Rhizoma)</w:t>
            </w:r>
          </w:p>
        </w:tc>
        <w:tc>
          <w:tcPr>
            <w:tcBorders/>
          </w:tcPr>
          <w:tcPr>
            <w:vAlign w:val="top"/>
          </w:tcPr>
          <w:p>
            <w:pPr>
              <w:jc w:val="left"/>
            </w:pPr>
            <w:r/>
            <w:r>
              <w:rPr xsi:nil="true"/>
              <w:t>Deep and rapid pulse</w:t>
            </w:r>
          </w:p>
        </w:tc>
        <w:tc>
          <w:tcPr>
            <w:tcBorders/>
          </w:tcPr>
          <w:tcPr>
            <w:vAlign w:val="top"/>
          </w:tcPr>
          <w:p>
            <w:pPr>
              <w:jc w:val="center"/>
            </w:pPr>
            <w:r/>
            <w:r>
              <w:rPr xsi:nil="true"/>
              <w:t>7.84</w:t>
            </w:r>
          </w:p>
        </w:tc>
        <w:tc>
          <w:tcPr>
            <w:tcBorders/>
          </w:tcPr>
          <w:tcPr>
            <w:vAlign w:val="top"/>
          </w:tcPr>
          <w:p>
            <w:pPr>
              <w:jc w:val="center"/>
            </w:pPr>
            <w:r/>
            <w:r>
              <w:rPr xsi:nil="true"/>
              <w:t>100.00</w:t>
            </w:r>
          </w:p>
        </w:tc>
        <w:tc>
          <w:tcPr>
            <w:tcBorders/>
          </w:tcPr>
          <w:tcPr>
            <w:vAlign w:val="top"/>
          </w:tcPr>
          <w:p>
            <w:pPr>
              <w:jc w:val="center"/>
            </w:pPr>
            <w:r/>
            <w:r>
              <w:rPr xsi:nil="true"/>
              <w:t>7.29</w:t>
            </w:r>
          </w:p>
        </w:tc>
      </w:tr>
      <w:tr>
        <w:tc>
          <w:tcPr>
            <w:tcBorders/>
          </w:tcPr>
          <w:tcPr>
            <w:vAlign w:val="top"/>
          </w:tcPr>
          <w:p>
            <w:pPr>
              <w:jc w:val="left"/>
            </w:pPr>
            <w:r/>
            <w:r>
              <w:rPr xsi:nil="true"/>
              <w:t>Baishao (Paeoniae Radix Alba) + Guizhi (Cinnamomi Ramulus) +Jiudahuang (Wine-processed Rhei Radix et Rhizoma)</w:t>
            </w:r>
          </w:p>
        </w:tc>
        <w:tc>
          <w:tcPr>
            <w:tcBorders/>
          </w:tcPr>
          <w:tcPr>
            <w:vAlign w:val="top"/>
          </w:tcPr>
          <w:p>
            <w:pPr>
              <w:jc w:val="left"/>
            </w:pPr>
            <w:r/>
            <w:r>
              <w:rPr xsi:nil="true"/>
              <w:t>Deep and rapid pulse</w:t>
            </w:r>
          </w:p>
        </w:tc>
        <w:tc>
          <w:tcPr>
            <w:tcBorders/>
          </w:tcPr>
          <w:tcPr>
            <w:vAlign w:val="top"/>
          </w:tcPr>
          <w:p>
            <w:pPr>
              <w:jc w:val="center"/>
            </w:pPr>
            <w:r/>
            <w:r>
              <w:rPr xsi:nil="true"/>
              <w:t>7.84</w:t>
            </w:r>
          </w:p>
        </w:tc>
        <w:tc>
          <w:tcPr>
            <w:tcBorders/>
          </w:tcPr>
          <w:tcPr>
            <w:vAlign w:val="top"/>
          </w:tcPr>
          <w:p>
            <w:pPr>
              <w:jc w:val="center"/>
            </w:pPr>
            <w:r/>
            <w:r>
              <w:rPr xsi:nil="true"/>
              <w:t>100.00</w:t>
            </w:r>
          </w:p>
        </w:tc>
        <w:tc>
          <w:tcPr>
            <w:tcBorders/>
          </w:tcPr>
          <w:tcPr>
            <w:vAlign w:val="top"/>
          </w:tcPr>
          <w:p>
            <w:pPr>
              <w:jc w:val="center"/>
            </w:pPr>
            <w:r/>
            <w:r>
              <w:rPr xsi:nil="true"/>
              <w:t>7.29</w:t>
            </w:r>
          </w:p>
        </w:tc>
      </w:tr>
      <w:tr>
        <w:tc>
          <w:tcPr>
            <w:tcBorders/>
          </w:tcPr>
          <w:tcPr>
            <w:vAlign w:val="top"/>
          </w:tcPr>
          <w:p>
            <w:pPr>
              <w:jc w:val="left"/>
            </w:pPr>
            <w:r/>
            <w:r>
              <w:rPr xsi:nil="true"/>
              <w:t>Chuanguizhi (</w:t>
            </w:r>
            <w:r>
              <w:rPr xsi:nil="true">
                <w:i w:val="true"/>
              </w:rPr>
              <w:t>Cinnamomum wilsonii</w:t>
            </w:r>
            <w:r>
              <w:rPr xsi:nil="true"/>
              <w:t xml:space="preserve"> Gamble) + Fuzi (Aconiti Lateralis Radix Praeparata) + Hongshen (Ginseng Radix et Rhizoma Rubra)</w:t>
            </w:r>
          </w:p>
        </w:tc>
        <w:tc>
          <w:tcPr>
            <w:tcBorders/>
          </w:tcPr>
          <w:tcPr>
            <w:vAlign w:val="top"/>
          </w:tcPr>
          <w:p>
            <w:pPr>
              <w:jc w:val="left"/>
            </w:pPr>
            <w:r/>
            <w:r>
              <w:rPr xsi:nil="true"/>
              <w:t>Tongue with a greasy coating</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6.38</w:t>
            </w:r>
          </w:p>
        </w:tc>
      </w:tr>
      <w:tr>
        <w:tc>
          <w:tcPr>
            <w:tcBorders/>
          </w:tcPr>
          <w:tcPr>
            <w:vAlign w:val="top"/>
          </w:tcPr>
          <w:p>
            <w:pPr>
              <w:jc w:val="left"/>
            </w:pPr>
            <w:r/>
            <w:r>
              <w:rPr xsi:nil="true"/>
              <w:t>Chuanguizhi (</w:t>
            </w:r>
            <w:r>
              <w:rPr xsi:nil="true">
                <w:i w:val="true"/>
              </w:rPr>
              <w:t>Cinnamomum wilsonii</w:t>
            </w:r>
            <w:r>
              <w:rPr xsi:nil="true"/>
              <w:t xml:space="preserve"> Gamble) + Fuzi (Aconiti Lateralis Radix Praeparata) + Jiugancao (Radix Glycyrrhizae Preparata)</w:t>
            </w:r>
          </w:p>
        </w:tc>
        <w:tc>
          <w:tcPr>
            <w:tcBorders/>
          </w:tcPr>
          <w:tcPr>
            <w:vAlign w:val="top"/>
          </w:tcPr>
          <w:p>
            <w:pPr>
              <w:jc w:val="left"/>
            </w:pPr>
            <w:r/>
            <w:r>
              <w:rPr xsi:nil="true"/>
              <w:t>Tongue with a greasy coating</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6.38</w:t>
            </w:r>
          </w:p>
        </w:tc>
      </w:tr>
      <w:tr>
        <w:tc>
          <w:tcPr>
            <w:tcBorders>
              <w:bottom w:val="basicThinLines"/>
            </w:tcBorders>
          </w:tcPr>
          <w:tcPr>
            <w:vAlign w:val="top"/>
          </w:tcPr>
          <w:p>
            <w:pPr>
              <w:jc w:val="left"/>
            </w:pPr>
            <w:r/>
            <w:r>
              <w:rPr xsi:nil="true"/>
              <w:t>Chuanguizhi (</w:t>
            </w:r>
            <w:r>
              <w:rPr xsi:nil="true">
                <w:i w:val="true"/>
              </w:rPr>
              <w:t>Cinnamomum wilsonii</w:t>
            </w:r>
            <w:r>
              <w:rPr xsi:nil="true"/>
              <w:t xml:space="preserve"> Gamble) + Fuzi (Aconiti Lateralis Radix Praeparata) + Yunfuling (</w:t>
            </w:r>
            <w:r>
              <w:rPr xsi:nil="true">
                <w:i w:val="true"/>
              </w:rPr>
              <w:t>Wolfiporia extensa</w:t>
            </w:r>
            <w:r>
              <w:rPr xsi:nil="true"/>
              <w:t>)</w:t>
            </w:r>
          </w:p>
        </w:tc>
        <w:tc>
          <w:tcPr>
            <w:tcBorders>
              <w:bottom w:val="basicThinLines"/>
            </w:tcBorders>
          </w:tcPr>
          <w:tcPr>
            <w:vAlign w:val="top"/>
          </w:tcPr>
          <w:p>
            <w:pPr>
              <w:jc w:val="left"/>
            </w:pPr>
            <w:r/>
            <w:r>
              <w:rPr xsi:nil="true"/>
              <w:t>Tongue with a greasy coating</w:t>
            </w:r>
          </w:p>
        </w:tc>
        <w:tc>
          <w:tcPr>
            <w:tcBorders>
              <w:bottom w:val="basicThinLines"/>
            </w:tcBorders>
          </w:tcPr>
          <w:tcPr>
            <w:vAlign w:val="top"/>
          </w:tcPr>
          <w:p>
            <w:pPr>
              <w:jc w:val="center"/>
            </w:pPr>
            <w:r/>
            <w:r>
              <w:rPr xsi:nil="true"/>
              <w:t>5.88</w:t>
            </w:r>
          </w:p>
        </w:tc>
        <w:tc>
          <w:tcPr>
            <w:tcBorders>
              <w:bottom w:val="basicThinLines"/>
            </w:tcBorders>
          </w:tcPr>
          <w:tcPr>
            <w:vAlign w:val="top"/>
          </w:tcPr>
          <w:p>
            <w:pPr>
              <w:jc w:val="center"/>
            </w:pPr>
            <w:r/>
            <w:r>
              <w:rPr xsi:nil="true"/>
              <w:t>100.00</w:t>
            </w:r>
          </w:p>
        </w:tc>
        <w:tc>
          <w:tcPr>
            <w:tcBorders>
              <w:bottom w:val="basicThinLines"/>
            </w:tcBorders>
          </w:tcPr>
          <w:tcPr>
            <w:vAlign w:val="top"/>
          </w:tcPr>
          <w:p>
            <w:pPr>
              <w:jc w:val="center"/>
            </w:pPr>
            <w:r/>
            <w:r>
              <w:rPr xsi:nil="true"/>
              <w:t>6.38</w:t>
            </w:r>
          </w:p>
        </w:tc>
      </w:tr>
    </w:tbl>
    <w:p>
      <w:pPr>
        <w:ind w:firstLine="420"/>
        <w:rPr>
          <w:rFonts w:ascii="Times New Roman" w:hAnsi="宋体"/>
          <w:sz w:val="24"/>
          <w:szCs w:val="24"/>
        </w:rPr>
      </w:pPr>
    </w:p>
    <w:p>
      <w:pPr>
        <w:spacing w:before="156" w:beforeLines="50" w:line="360" w:lineRule="auto"/>
        <w:jc w:val="left"/>
        <w:rPr>
          <w:rFonts w:ascii="Times New Roman" w:hAnsi="宋体"/>
          <w:sz w:val="24"/>
          <w:szCs w:val="24"/>
        </w:rPr>
      </w:pPr>
      <w:r>
        <w:rPr>
          <w:rFonts w:ascii="Times New Roman" w:hAnsi="宋体" w:hint="eastAsia"/>
          <w:b/>
          <w:sz w:val="26"/>
          <w:szCs w:val="32"/>
        </w:rPr>
        <w:t>3.4  Drug-western medicine index association rule mining</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The drug-western medicine index association rules were investigated under the criteria of support ≥5% and confidence = 100%, which found five second-order association rules (</w:t>
      </w:r>
      <w:r>
        <w:rPr>
          <w:rFonts w:ascii="Times New Roman" w:hAnsi="宋体" w:hint="eastAsia"/>
          <w:sz w:val="24"/>
          <w:szCs w:val="24"/>
        </w:rPr>
        <w:t>Table 11</w:t>
      </w:r>
      <w:r>
        <w:rPr>
          <w:rFonts w:ascii="Times New Roman" w:hAnsi="宋体" w:hint="eastAsia"/>
          <w:sz w:val="24"/>
          <w:szCs w:val="24"/>
        </w:rPr>
        <w:t>), 16 third-order rules (</w:t>
      </w:r>
      <w:r>
        <w:rPr>
          <w:rFonts w:ascii="Times New Roman" w:hAnsi="宋体" w:hint="eastAsia"/>
          <w:sz w:val="24"/>
          <w:szCs w:val="24"/>
        </w:rPr>
        <w:t>Table 12</w:t>
      </w:r>
      <w:r>
        <w:rPr>
          <w:rFonts w:ascii="Times New Roman" w:hAnsi="宋体" w:hint="eastAsia"/>
          <w:sz w:val="24"/>
          <w:szCs w:val="24"/>
        </w:rPr>
        <w:t>), and 16 fourth-order roles (</w:t>
      </w:r>
      <w:r>
        <w:rPr>
          <w:rFonts w:ascii="Times New Roman" w:hAnsi="宋体" w:hint="eastAsia"/>
          <w:sz w:val="24"/>
          <w:szCs w:val="24"/>
        </w:rPr>
        <w:t>Table 13</w:t>
      </w:r>
      <w:r>
        <w:rPr>
          <w:rFonts w:ascii="Times New Roman" w:hAnsi="宋体" w:hint="eastAsia"/>
          <w:sz w:val="24"/>
          <w:szCs w:val="24"/>
        </w:rPr>
        <w:t>).</w:t>
      </w:r>
    </w:p>
    <w:p>
      <w:pPr>
        <w:ind w:firstLine="480" w:firstLineChars="200"/>
        <w:rPr>
          <w:rFonts w:ascii="Times New Roman" w:hAnsi="宋体"/>
          <w:sz w:val="24"/>
          <w:szCs w:val="24"/>
        </w:rPr>
      </w:pPr>
    </w:p>
    <w:p>
      <w:pPr>
        <w:spacing w:after="156" w:afterLines="50" w:line="360" w:lineRule="auto"/>
        <w:ind w:firstLine="482" w:firstLineChars="200"/>
        <w:jc w:val="center"/>
        <w:rPr>
          <w:rFonts w:ascii="Times New Roman" w:hAnsi="宋体"/>
          <w:sz w:val="24"/>
          <w:szCs w:val="24"/>
        </w:rPr>
      </w:pPr>
      <w:r>
        <w:rPr>
          <w:rFonts w:ascii="Times New Roman" w:hAnsi="宋体" w:hint="eastAsia"/>
          <w:b/>
          <w:bCs/>
          <w:sz w:val="24"/>
          <w:szCs w:val="24"/>
        </w:rPr>
        <w:t xml:space="preserve">Table 11 </w:t>
      </w:r>
      <w:r>
        <w:rPr>
          <w:rFonts w:ascii="Times New Roman" w:hAnsi="宋体" w:hint="eastAsia"/>
          <w:sz w:val="24"/>
          <w:szCs w:val="24"/>
        </w:rPr>
        <w:t xml:space="preserve"> Drug-western medicine index second-order associations</w:t>
      </w:r>
    </w:p>
    <w:tbl>
      <w:tblPr>
        <w:tblStyleColBandSize w:val="30"/>
        <w:tblW w:w="8300" w:type="dxa"/>
        <w:jc w:val="center"/>
        <w:tblBorders>
          <w:top w:val="single"/>
          <w:left w:val="single"/>
          <w:bottom w:val="single"/>
          <w:right w:val="single"/>
          <w:insideH w:val="none" w:sz="0" w:space="0" w:color=""/>
          <w:insideV w:val="none" w:sz="0" w:space="0" w:color=""/>
        </w:tblBorders>
        <w:tblBorders>
          <w:top xsi:nil="true"/>
          <w:left xsi:nil="true"/>
          <w:bottom xsi:nil="true"/>
          <w:right xsi:nil="true"/>
        </w:tblBorders>
        <w:tblCellMar>
          <w:top w:type="dxa" w:w="0"/>
          <w:left w:type="dxa" w:w="30"/>
          <w:bottom w:type="dxa" w:w="0"/>
          <w:right w:type="dxa" w:w="30"/>
        </w:tblCellMar>
      </w:tblPr>
      <w:tr>
        <w:tc>
          <w:tcPr>
            <w:tcBorders>
              <w:top w:val="basicThinLines"/>
            </w:tcBorders>
          </w:tcPr>
          <w:tcPr>
            <w:vAlign w:val="center"/>
          </w:tcPr>
          <w:p>
            <w:pPr>
              <w:jc w:val="center"/>
            </w:pPr>
            <w:r/>
            <w:r>
              <w:rPr xsi:nil="true">
                <w:b w:val="true"/>
              </w:rPr>
              <w:t>Antecedent</w:t>
            </w:r>
          </w:p>
        </w:tc>
        <w:tc>
          <w:tcPr>
            <w:tcBorders>
              <w:top w:val="basicThinLines"/>
            </w:tcBorders>
          </w:tcPr>
          <w:tcPr>
            <w:vAlign w:val="center"/>
          </w:tcPr>
          <w:p>
            <w:pPr>
              <w:jc w:val="left"/>
            </w:pPr>
            <w:r/>
            <w:r>
              <w:rPr xsi:nil="true">
                <w:b w:val="true"/>
              </w:rPr>
              <w:t>Succedent</w:t>
            </w:r>
          </w:p>
        </w:tc>
        <w:tc>
          <w:tcPr>
            <w:tcBorders>
              <w:top w:val="basicThinLines"/>
            </w:tcBorders>
          </w:tcPr>
          <w:tcPr>
            <w:vAlign w:val="center"/>
          </w:tcPr>
          <w:p>
            <w:pPr>
              <w:jc w:val="center"/>
            </w:pPr>
            <w:r/>
            <w:r>
              <w:rPr xsi:nil="true">
                <w:b w:val="true"/>
              </w:rPr>
              <w:t>Support (%)</w:t>
            </w:r>
          </w:p>
        </w:tc>
        <w:tc>
          <w:tcPr>
            <w:tcBorders>
              <w:top w:val="basicThinLines"/>
            </w:tcBorders>
          </w:tcPr>
          <w:tcPr>
            <w:vAlign w:val="center"/>
          </w:tcPr>
          <w:p>
            <w:pPr>
              <w:jc w:val="center"/>
            </w:pPr>
            <w:r/>
            <w:r>
              <w:rPr xsi:nil="true">
                <w:b w:val="true"/>
              </w:rPr>
              <w:t>Confidence (%)</w:t>
            </w:r>
          </w:p>
        </w:tc>
        <w:tc>
          <w:tcPr>
            <w:tcBorders>
              <w:top w:val="basicThinLines"/>
            </w:tcBorders>
          </w:tcPr>
          <w:tcPr>
            <w:vAlign w:val="center"/>
          </w:tcPr>
          <w:p>
            <w:pPr>
              <w:jc w:val="center"/>
            </w:pPr>
            <w:r/>
            <w:r>
              <w:rPr xsi:nil="true">
                <w:b w:val="true"/>
              </w:rPr>
              <w:t>Lift</w:t>
            </w:r>
          </w:p>
        </w:tc>
      </w:tr>
      <w:tr>
        <w:tc>
          <w:tcPr>
            <w:tcBorders>
              <w:top w:val="basicThinLines"/>
            </w:tcBorders>
          </w:tcPr>
          <w:tcPr>
            <w:vAlign w:val="center"/>
          </w:tcPr>
          <w:p>
            <w:pPr>
              <w:jc w:val="left"/>
            </w:pPr>
            <w:r/>
            <w:r>
              <w:rPr xsi:nil="true"/>
              <w:t>Qinpi (Fraxini Cortex)</w:t>
            </w:r>
          </w:p>
        </w:tc>
        <w:tc>
          <w:tcPr>
            <w:tcBorders>
              <w:top w:val="basicThinLines"/>
            </w:tcBorders>
          </w:tcPr>
          <w:tcPr>
            <w:vAlign w:val="center"/>
          </w:tcPr>
          <w:p>
            <w:pPr>
              <w:jc w:val="left"/>
            </w:pPr>
            <w:r/>
            <w:r>
              <w:rPr xsi:nil="true"/>
              <w:t>Uric acid</w:t>
            </w:r>
          </w:p>
        </w:tc>
        <w:tc>
          <w:tcPr>
            <w:tcBorders>
              <w:top w:val="basicThinLines"/>
            </w:tcBorders>
          </w:tcPr>
          <w:tcPr>
            <w:vAlign w:val="center"/>
          </w:tcPr>
          <w:p>
            <w:pPr>
              <w:jc w:val="center"/>
            </w:pPr>
            <w:r/>
            <w:r>
              <w:rPr xsi:nil="true"/>
              <w:t>13.73</w:t>
            </w:r>
          </w:p>
        </w:tc>
        <w:tc>
          <w:tcPr>
            <w:tcBorders>
              <w:top w:val="basicThinLines"/>
            </w:tcBorders>
          </w:tcPr>
          <w:tcPr>
            <w:vAlign w:val="center"/>
          </w:tcPr>
          <w:p>
            <w:pPr>
              <w:jc w:val="center"/>
            </w:pPr>
            <w:r/>
            <w:r>
              <w:rPr xsi:nil="true"/>
              <w:t>100</w:t>
            </w:r>
          </w:p>
        </w:tc>
        <w:tc>
          <w:tcPr>
            <w:tcBorders>
              <w:top w:val="basicThinLines"/>
            </w:tcBorders>
          </w:tcPr>
          <w:tcPr>
            <w:vAlign w:val="center"/>
          </w:tcPr>
          <w:p>
            <w:pPr>
              <w:jc w:val="center"/>
            </w:pPr>
            <w:r/>
            <w:r>
              <w:rPr xsi:nil="true"/>
              <w:t>3.19</w:t>
            </w:r>
          </w:p>
        </w:tc>
      </w:tr>
      <w:tr>
        <w:tc>
          <w:tcPr>
            <w:tcBorders/>
          </w:tcPr>
          <w:tcPr>
            <w:vAlign w:val="center"/>
          </w:tcPr>
          <w:p>
            <w:pPr>
              <w:jc w:val="left"/>
            </w:pPr>
            <w:r/>
            <w:r>
              <w:rPr xsi:nil="true"/>
              <w:t>Weilingxian (Clematidis Radix et Rhizoma)</w:t>
            </w:r>
          </w:p>
        </w:tc>
        <w:tc>
          <w:tcPr>
            <w:tcBorders/>
          </w:tcPr>
          <w:tcPr>
            <w:vAlign w:val="center"/>
          </w:tcPr>
          <w:p>
            <w:pPr>
              <w:jc w:val="left"/>
            </w:pPr>
            <w:r/>
            <w:r>
              <w:rPr xsi:nil="true"/>
              <w:t>Uric acid</w:t>
            </w:r>
          </w:p>
        </w:tc>
        <w:tc>
          <w:tcPr>
            <w:tcBorders/>
          </w:tcPr>
          <w:tcPr>
            <w:vAlign w:val="center"/>
          </w:tcPr>
          <w:p>
            <w:pPr>
              <w:jc w:val="center"/>
            </w:pPr>
            <w:r/>
            <w:r>
              <w:rPr xsi:nil="true"/>
              <w:t>13.73</w:t>
            </w:r>
          </w:p>
        </w:tc>
        <w:tc>
          <w:tcPr>
            <w:tcBorders/>
          </w:tcPr>
          <w:tcPr>
            <w:vAlign w:val="center"/>
          </w:tcPr>
          <w:p>
            <w:pPr>
              <w:jc w:val="center"/>
            </w:pPr>
            <w:r/>
            <w:r>
              <w:rPr xsi:nil="true"/>
              <w:t>100</w:t>
            </w:r>
          </w:p>
        </w:tc>
        <w:tc>
          <w:tcPr>
            <w:tcBorders/>
          </w:tcPr>
          <w:tcPr>
            <w:vAlign w:val="center"/>
          </w:tcPr>
          <w:p>
            <w:pPr>
              <w:jc w:val="center"/>
            </w:pPr>
            <w:r/>
            <w:r>
              <w:rPr xsi:nil="true"/>
              <w:t>3.19</w:t>
            </w:r>
          </w:p>
        </w:tc>
      </w:tr>
      <w:tr>
        <w:tc>
          <w:tcPr>
            <w:tcBorders/>
          </w:tcPr>
          <w:tcPr>
            <w:vAlign w:val="center"/>
          </w:tcPr>
          <w:p>
            <w:pPr>
              <w:jc w:val="left"/>
            </w:pPr>
            <w:r/>
            <w:r>
              <w:rPr xsi:nil="true"/>
              <w:t>Qinjiao (Gentianae Macrophyllae Radix)</w:t>
            </w:r>
          </w:p>
        </w:tc>
        <w:tc>
          <w:tcPr>
            <w:tcBorders/>
          </w:tcPr>
          <w:tcPr>
            <w:vAlign w:val="center"/>
          </w:tcPr>
          <w:p>
            <w:pPr>
              <w:jc w:val="left"/>
            </w:pPr>
            <w:r/>
            <w:r>
              <w:rPr xsi:nil="true"/>
              <w:t>Uric acid</w:t>
            </w:r>
          </w:p>
        </w:tc>
        <w:tc>
          <w:tcPr>
            <w:tcBorders/>
          </w:tcPr>
          <w:tcPr>
            <w:vAlign w:val="center"/>
          </w:tcPr>
          <w:p>
            <w:pPr>
              <w:jc w:val="center"/>
            </w:pPr>
            <w:r/>
            <w:r>
              <w:rPr xsi:nil="true"/>
              <w:t>5.88</w:t>
            </w:r>
          </w:p>
        </w:tc>
        <w:tc>
          <w:tcPr>
            <w:tcBorders/>
          </w:tcPr>
          <w:tcPr>
            <w:vAlign w:val="center"/>
          </w:tcPr>
          <w:p>
            <w:pPr>
              <w:jc w:val="center"/>
            </w:pPr>
            <w:r/>
            <w:r>
              <w:rPr xsi:nil="true"/>
              <w:t>100</w:t>
            </w:r>
          </w:p>
        </w:tc>
        <w:tc>
          <w:tcPr>
            <w:tcBorders/>
          </w:tcPr>
          <w:tcPr>
            <w:vAlign w:val="center"/>
          </w:tcPr>
          <w:p>
            <w:pPr>
              <w:jc w:val="center"/>
            </w:pPr>
            <w:r/>
            <w:r>
              <w:rPr xsi:nil="true"/>
              <w:t>3.19</w:t>
            </w:r>
          </w:p>
        </w:tc>
      </w:tr>
      <w:tr>
        <w:tc>
          <w:tcPr>
            <w:tcBorders/>
          </w:tcPr>
          <w:tcPr>
            <w:vAlign w:val="center"/>
          </w:tcPr>
          <w:p>
            <w:pPr>
              <w:jc w:val="left"/>
            </w:pPr>
            <w:r/>
            <w:r>
              <w:rPr xsi:nil="true"/>
              <w:t>Shengdihuang (Rehmanniae Radix)</w:t>
            </w:r>
          </w:p>
        </w:tc>
        <w:tc>
          <w:tcPr>
            <w:tcBorders/>
          </w:tcPr>
          <w:tcPr>
            <w:vAlign w:val="center"/>
          </w:tcPr>
          <w:p>
            <w:pPr>
              <w:jc w:val="left"/>
            </w:pPr>
            <w:r/>
            <w:r>
              <w:rPr xsi:nil="true"/>
              <w:t>Fasting blood glucose</w:t>
            </w:r>
          </w:p>
        </w:tc>
        <w:tc>
          <w:tcPr>
            <w:tcBorders/>
          </w:tcPr>
          <w:tcPr>
            <w:vAlign w:val="center"/>
          </w:tcPr>
          <w:p>
            <w:pPr>
              <w:jc w:val="center"/>
            </w:pPr>
            <w:r/>
            <w:r>
              <w:rPr xsi:nil="true"/>
              <w:t>5.88</w:t>
            </w:r>
          </w:p>
        </w:tc>
        <w:tc>
          <w:tcPr>
            <w:tcBorders/>
          </w:tcPr>
          <w:tcPr>
            <w:vAlign w:val="center"/>
          </w:tcPr>
          <w:p>
            <w:pPr>
              <w:jc w:val="center"/>
            </w:pPr>
            <w:r/>
            <w:r>
              <w:rPr xsi:nil="true"/>
              <w:t>100</w:t>
            </w:r>
          </w:p>
        </w:tc>
        <w:tc>
          <w:tcPr>
            <w:tcBorders/>
          </w:tcPr>
          <w:tcPr>
            <w:vAlign w:val="center"/>
          </w:tcPr>
          <w:p>
            <w:pPr>
              <w:jc w:val="center"/>
            </w:pPr>
            <w:r/>
            <w:r>
              <w:rPr xsi:nil="true"/>
              <w:t>2.83</w:t>
            </w:r>
          </w:p>
        </w:tc>
      </w:tr>
      <w:tr>
        <w:tc>
          <w:tcPr>
            <w:tcBorders>
              <w:bottom w:val="basicThinLines"/>
            </w:tcBorders>
          </w:tcPr>
          <w:tcPr>
            <w:vAlign w:val="center"/>
          </w:tcPr>
          <w:p>
            <w:pPr>
              <w:jc w:val="left"/>
            </w:pPr>
            <w:r/>
            <w:r>
              <w:rPr xsi:nil="true"/>
              <w:t>Chaobaizhu (Stir-fried Atractylodis Macrocephalae Rhizoma)</w:t>
            </w:r>
          </w:p>
        </w:tc>
        <w:tc>
          <w:tcPr>
            <w:tcBorders>
              <w:bottom w:val="basicThinLines"/>
            </w:tcBorders>
          </w:tcPr>
          <w:tcPr>
            <w:vAlign w:val="center"/>
          </w:tcPr>
          <w:p>
            <w:pPr>
              <w:jc w:val="left"/>
            </w:pPr>
            <w:r/>
            <w:r>
              <w:rPr xsi:nil="true"/>
              <w:t>Fasting blood glucose</w:t>
            </w:r>
          </w:p>
        </w:tc>
        <w:tc>
          <w:tcPr>
            <w:tcBorders>
              <w:bottom w:val="basicThinLines"/>
            </w:tcBorders>
          </w:tcPr>
          <w:tcPr>
            <w:vAlign w:val="center"/>
          </w:tcPr>
          <w:p>
            <w:pPr>
              <w:jc w:val="center"/>
            </w:pPr>
            <w:r/>
            <w:r>
              <w:rPr xsi:nil="true"/>
              <w:t>5.88</w:t>
            </w:r>
          </w:p>
        </w:tc>
        <w:tc>
          <w:tcPr>
            <w:tcBorders>
              <w:bottom w:val="basicThinLines"/>
            </w:tcBorders>
          </w:tcPr>
          <w:tcPr>
            <w:vAlign w:val="center"/>
          </w:tcPr>
          <w:p>
            <w:pPr>
              <w:jc w:val="center"/>
            </w:pPr>
            <w:r/>
            <w:r>
              <w:rPr xsi:nil="true"/>
              <w:t>100</w:t>
            </w:r>
          </w:p>
        </w:tc>
        <w:tc>
          <w:tcPr>
            <w:tcBorders>
              <w:bottom w:val="basicThinLines"/>
            </w:tcBorders>
          </w:tcPr>
          <w:tcPr>
            <w:vAlign w:val="center"/>
          </w:tcPr>
          <w:p>
            <w:pPr>
              <w:jc w:val="center"/>
            </w:pPr>
            <w:r/>
            <w:r>
              <w:rPr xsi:nil="true"/>
              <w:t>2.83</w:t>
            </w:r>
          </w:p>
        </w:tc>
      </w:tr>
    </w:tbl>
    <w:p>
      <w:pPr>
        <w:ind w:firstLine="420"/>
        <w:rPr>
          <w:rFonts w:ascii="Times New Roman" w:hAnsi="宋体"/>
          <w:sz w:val="24"/>
          <w:szCs w:val="24"/>
        </w:rPr>
      </w:pPr>
    </w:p>
    <w:p>
      <w:pPr>
        <w:ind w:firstLine="480" w:firstLineChars="200"/>
        <w:rPr>
          <w:rFonts w:ascii="Times New Roman" w:hAnsi="宋体"/>
          <w:sz w:val="24"/>
          <w:szCs w:val="24"/>
        </w:rPr>
      </w:pPr>
    </w:p>
    <w:p>
      <w:pPr>
        <w:spacing w:after="156" w:afterLines="50" w:line="360" w:lineRule="auto"/>
        <w:ind w:firstLine="482" w:firstLineChars="200"/>
        <w:jc w:val="center"/>
        <w:rPr>
          <w:rFonts w:ascii="Times New Roman" w:hAnsi="宋体"/>
          <w:sz w:val="24"/>
          <w:szCs w:val="24"/>
        </w:rPr>
      </w:pPr>
      <w:r>
        <w:rPr>
          <w:rFonts w:ascii="Times New Roman" w:hAnsi="宋体" w:hint="eastAsia"/>
          <w:b/>
          <w:bCs/>
          <w:sz w:val="24"/>
          <w:szCs w:val="24"/>
        </w:rPr>
        <w:t xml:space="preserve">Table 12 </w:t>
      </w:r>
      <w:r>
        <w:rPr>
          <w:rFonts w:ascii="Times New Roman" w:hAnsi="宋体" w:hint="eastAsia"/>
          <w:sz w:val="24"/>
          <w:szCs w:val="24"/>
        </w:rPr>
        <w:t xml:space="preserve"> Drug-western medicine index third-order associations</w:t>
      </w:r>
    </w:p>
    <w:tbl>
      <w:tblPr>
        <w:tblStyleColBandSize w:val="30"/>
        <w:tblW w:w="8300" w:type="dxa"/>
        <w:jc w:val="center"/>
        <w:tblBorders>
          <w:top w:val="single"/>
          <w:left w:val="single"/>
          <w:bottom w:val="single"/>
          <w:right w:val="single"/>
          <w:insideH w:val="none" w:sz="0" w:space="0" w:color=""/>
          <w:insideV w:val="none" w:sz="0" w:space="0" w:color=""/>
        </w:tblBorders>
        <w:tblBorders>
          <w:top xsi:nil="true"/>
          <w:left xsi:nil="true"/>
          <w:bottom xsi:nil="true"/>
          <w:right xsi:nil="true"/>
        </w:tblBorders>
        <w:tblCellMar>
          <w:top w:type="dxa" w:w="0"/>
          <w:left w:type="dxa" w:w="30"/>
          <w:bottom w:type="dxa" w:w="0"/>
          <w:right w:type="dxa" w:w="30"/>
        </w:tblCellMar>
      </w:tblPr>
      <w:tr>
        <w:tc>
          <w:tcPr>
            <w:tcBorders>
              <w:top w:val="basicThinLines"/>
            </w:tcBorders>
          </w:tcPr>
          <w:tcPr>
            <w:vAlign w:val="center"/>
          </w:tcPr>
          <w:p>
            <w:pPr>
              <w:jc w:val="center"/>
            </w:pPr>
            <w:r/>
            <w:r>
              <w:rPr xsi:nil="true">
                <w:b w:val="true"/>
              </w:rPr>
              <w:t>Antecedent</w:t>
            </w:r>
          </w:p>
        </w:tc>
        <w:tc>
          <w:tcPr>
            <w:tcBorders>
              <w:top w:val="basicThinLines"/>
            </w:tcBorders>
          </w:tcPr>
          <w:tcPr>
            <w:vAlign w:val="center"/>
          </w:tcPr>
          <w:p>
            <w:pPr>
              <w:jc w:val="left"/>
            </w:pPr>
            <w:r/>
            <w:r>
              <w:rPr xsi:nil="true">
                <w:b w:val="true"/>
              </w:rPr>
              <w:t>Succedent</w:t>
            </w:r>
          </w:p>
        </w:tc>
        <w:tc>
          <w:tcPr>
            <w:tcBorders>
              <w:top w:val="basicThinLines"/>
            </w:tcBorders>
          </w:tcPr>
          <w:tcPr>
            <w:vAlign w:val="center"/>
          </w:tcPr>
          <w:p>
            <w:pPr>
              <w:jc w:val="center"/>
            </w:pPr>
            <w:r/>
            <w:r>
              <w:rPr xsi:nil="true">
                <w:b w:val="true"/>
              </w:rPr>
              <w:t>Support (%)</w:t>
            </w:r>
          </w:p>
        </w:tc>
        <w:tc>
          <w:tcPr>
            <w:tcBorders>
              <w:top w:val="basicThinLines"/>
            </w:tcBorders>
          </w:tcPr>
          <w:tcPr>
            <w:vAlign w:val="center"/>
          </w:tcPr>
          <w:p>
            <w:pPr>
              <w:jc w:val="center"/>
            </w:pPr>
            <w:r/>
            <w:r>
              <w:rPr xsi:nil="true">
                <w:b w:val="true"/>
              </w:rPr>
              <w:t>Confidence (%)</w:t>
            </w:r>
          </w:p>
        </w:tc>
        <w:tc>
          <w:tcPr>
            <w:tcBorders>
              <w:top w:val="basicThinLines"/>
            </w:tcBorders>
          </w:tcPr>
          <w:tcPr>
            <w:vAlign w:val="center"/>
          </w:tcPr>
          <w:p>
            <w:pPr>
              <w:jc w:val="center"/>
            </w:pPr>
            <w:r/>
            <w:r>
              <w:rPr xsi:nil="true">
                <w:b w:val="true"/>
              </w:rPr>
              <w:t>Lift</w:t>
            </w:r>
          </w:p>
        </w:tc>
      </w:tr>
      <w:tr>
        <w:tc>
          <w:tcPr>
            <w:tcBorders>
              <w:top w:val="basicThinLines"/>
            </w:tcBorders>
          </w:tcPr>
          <w:tcPr>
            <w:vAlign w:val="top"/>
          </w:tcPr>
          <w:p>
            <w:pPr>
              <w:jc w:val="left"/>
            </w:pPr>
            <w:r/>
            <w:r>
              <w:rPr xsi:nil="true"/>
              <w:t>Huanglian (Coptidis Rhizoma) + Ganjiang (Zingiberis Rhizoma)</w:t>
            </w:r>
          </w:p>
        </w:tc>
        <w:tc>
          <w:tcPr>
            <w:tcBorders>
              <w:top w:val="basicThinLines"/>
            </w:tcBorders>
          </w:tcPr>
          <w:tcPr>
            <w:vAlign w:val="top"/>
          </w:tcPr>
          <w:p>
            <w:pPr>
              <w:jc w:val="left"/>
            </w:pPr>
            <w:r/>
            <w:r>
              <w:rPr xsi:nil="true"/>
              <w:t>Glycated hemoglobin</w:t>
            </w:r>
          </w:p>
        </w:tc>
        <w:tc>
          <w:tcPr>
            <w:tcBorders>
              <w:top w:val="basicThinLines"/>
            </w:tcBorders>
          </w:tcPr>
          <w:tcPr>
            <w:vAlign w:val="top"/>
          </w:tcPr>
          <w:p>
            <w:pPr>
              <w:jc w:val="center"/>
            </w:pPr>
            <w:r/>
            <w:r>
              <w:rPr xsi:nil="true"/>
              <w:t>9.80</w:t>
            </w:r>
          </w:p>
        </w:tc>
        <w:tc>
          <w:tcPr>
            <w:tcBorders>
              <w:top w:val="basicThinLines"/>
            </w:tcBorders>
          </w:tcPr>
          <w:tcPr>
            <w:vAlign w:val="top"/>
          </w:tcPr>
          <w:p>
            <w:pPr>
              <w:jc w:val="center"/>
            </w:pPr>
            <w:r/>
            <w:r>
              <w:rPr xsi:nil="true"/>
              <w:t>100.00</w:t>
            </w:r>
          </w:p>
        </w:tc>
        <w:tc>
          <w:tcPr>
            <w:tcBorders>
              <w:top w:val="basicThinLines"/>
            </w:tcBorders>
          </w:tcPr>
          <w:tcPr>
            <w:vAlign w:val="top"/>
          </w:tcPr>
          <w:p>
            <w:pPr>
              <w:jc w:val="center"/>
            </w:pPr>
            <w:r/>
            <w:r>
              <w:rPr xsi:nil="true"/>
              <w:t>3.40</w:t>
            </w:r>
          </w:p>
        </w:tc>
      </w:tr>
      <w:tr>
        <w:tc>
          <w:tcPr>
            <w:tcBorders/>
          </w:tcPr>
          <w:tcPr>
            <w:vAlign w:val="top"/>
          </w:tcPr>
          <w:p>
            <w:pPr>
              <w:jc w:val="left"/>
            </w:pPr>
            <w:r/>
            <w:r>
              <w:rPr xsi:nil="true"/>
              <w:t>Huanglian (Coptidis Rhizoma) + Huangqin (Scutellariae Radix)</w:t>
            </w:r>
          </w:p>
        </w:tc>
        <w:tc>
          <w:tcPr>
            <w:tcBorders/>
          </w:tcPr>
          <w:tcPr>
            <w:vAlign w:val="top"/>
          </w:tcPr>
          <w:p>
            <w:pPr>
              <w:jc w:val="left"/>
            </w:pPr>
            <w:r/>
            <w:r>
              <w:rPr xsi:nil="true"/>
              <w:t>Glycated hemoglobin</w:t>
            </w:r>
          </w:p>
        </w:tc>
        <w:tc>
          <w:tcPr>
            <w:tcBorders/>
          </w:tcPr>
          <w:tcPr>
            <w:vAlign w:val="top"/>
          </w:tcPr>
          <w:p>
            <w:pPr>
              <w:jc w:val="center"/>
            </w:pPr>
            <w:r/>
            <w:r>
              <w:rPr xsi:nil="true"/>
              <w:t>9.80</w:t>
            </w:r>
          </w:p>
        </w:tc>
        <w:tc>
          <w:tcPr>
            <w:tcBorders/>
          </w:tcPr>
          <w:tcPr>
            <w:vAlign w:val="top"/>
          </w:tcPr>
          <w:p>
            <w:pPr>
              <w:jc w:val="center"/>
            </w:pPr>
            <w:r/>
            <w:r>
              <w:rPr xsi:nil="true"/>
              <w:t>100.00</w:t>
            </w:r>
          </w:p>
        </w:tc>
        <w:tc>
          <w:tcPr>
            <w:tcBorders/>
          </w:tcPr>
          <w:tcPr>
            <w:vAlign w:val="top"/>
          </w:tcPr>
          <w:p>
            <w:pPr>
              <w:jc w:val="center"/>
            </w:pPr>
            <w:r/>
            <w:r>
              <w:rPr xsi:nil="true"/>
              <w:t>3.40</w:t>
            </w:r>
          </w:p>
        </w:tc>
      </w:tr>
      <w:tr>
        <w:tc>
          <w:tcPr>
            <w:tcBorders/>
          </w:tcPr>
          <w:tcPr>
            <w:vAlign w:val="top"/>
          </w:tcPr>
          <w:p>
            <w:pPr>
              <w:jc w:val="left"/>
            </w:pPr>
            <w:r/>
            <w:r>
              <w:rPr xsi:nil="true"/>
              <w:t>Shengdihuang (Rehmanniae Radix) + Ganjiang (Zingiberis Rhizoma)</w:t>
            </w:r>
          </w:p>
        </w:tc>
        <w:tc>
          <w:tcPr>
            <w:tcBorders/>
          </w:tcPr>
          <w:tcPr>
            <w:vAlign w:val="top"/>
          </w:tcPr>
          <w:p>
            <w:pPr>
              <w:jc w:val="left"/>
            </w:pPr>
            <w:r/>
            <w:r>
              <w:rPr xsi:nil="true"/>
              <w:t>Fasting blood glucose</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2.83</w:t>
            </w:r>
          </w:p>
        </w:tc>
      </w:tr>
      <w:tr>
        <w:tc>
          <w:tcPr>
            <w:tcBorders/>
          </w:tcPr>
          <w:tcPr>
            <w:vAlign w:val="top"/>
          </w:tcPr>
          <w:p>
            <w:pPr>
              <w:jc w:val="left"/>
            </w:pPr>
            <w:r/>
            <w:r>
              <w:rPr xsi:nil="true"/>
              <w:t>Shengdihuang (Rehmanniae Radix) + Huangqin (Scutellariae Radix)</w:t>
            </w:r>
          </w:p>
        </w:tc>
        <w:tc>
          <w:tcPr>
            <w:tcBorders/>
          </w:tcPr>
          <w:tcPr>
            <w:vAlign w:val="top"/>
          </w:tcPr>
          <w:p>
            <w:pPr>
              <w:jc w:val="left"/>
            </w:pPr>
            <w:r/>
            <w:r>
              <w:rPr xsi:nil="true"/>
              <w:t>Fasting blood glucose</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2.83</w:t>
            </w:r>
          </w:p>
        </w:tc>
      </w:tr>
      <w:tr>
        <w:tc>
          <w:tcPr>
            <w:tcBorders/>
          </w:tcPr>
          <w:tcPr>
            <w:vAlign w:val="top"/>
          </w:tcPr>
          <w:p>
            <w:pPr>
              <w:jc w:val="left"/>
            </w:pPr>
            <w:r/>
            <w:r>
              <w:rPr xsi:nil="true"/>
              <w:t>Shengdihuang (Rehmanniae Radix) + Huanglian (Coptidis Rhizoma)</w:t>
            </w:r>
          </w:p>
        </w:tc>
        <w:tc>
          <w:tcPr>
            <w:tcBorders/>
          </w:tcPr>
          <w:tcPr>
            <w:vAlign w:val="top"/>
          </w:tcPr>
          <w:p>
            <w:pPr>
              <w:jc w:val="left"/>
            </w:pPr>
            <w:r/>
            <w:r>
              <w:rPr xsi:nil="true"/>
              <w:t>Fasting blood glucose</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2.83</w:t>
            </w:r>
          </w:p>
        </w:tc>
      </w:tr>
      <w:tr>
        <w:tc>
          <w:tcPr>
            <w:tcBorders/>
          </w:tcPr>
          <w:tcPr>
            <w:vAlign w:val="top"/>
          </w:tcPr>
          <w:p>
            <w:pPr>
              <w:jc w:val="left"/>
            </w:pPr>
            <w:r/>
            <w:r>
              <w:rPr xsi:nil="true"/>
              <w:t>Zexie (Alismatis Rhizoma) + Yunfuling (</w:t>
            </w:r>
            <w:r>
              <w:rPr xsi:nil="true">
                <w:i w:val="true"/>
              </w:rPr>
              <w:t>Wolfiporia extensa</w:t>
            </w:r>
            <w:r>
              <w:rPr xsi:nil="true"/>
              <w:t>)</w:t>
            </w:r>
          </w:p>
        </w:tc>
        <w:tc>
          <w:tcPr>
            <w:tcBorders/>
          </w:tcPr>
          <w:tcPr>
            <w:vAlign w:val="top"/>
          </w:tcPr>
          <w:p>
            <w:pPr>
              <w:jc w:val="left"/>
            </w:pPr>
            <w:r/>
            <w:r>
              <w:rPr xsi:nil="true"/>
              <w:t>2 h postprandial</w:t>
            </w:r>
            <w:r>
              <w:rPr xsi:nil="true"/>
              <w:t xml:space="preserve"> blood glucose</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4.64</w:t>
            </w:r>
          </w:p>
        </w:tc>
      </w:tr>
      <w:tr>
        <w:tc>
          <w:tcPr>
            <w:tcBorders/>
          </w:tcPr>
          <w:tcPr>
            <w:vAlign w:val="top"/>
          </w:tcPr>
          <w:p>
            <w:pPr>
              <w:jc w:val="left"/>
            </w:pPr>
            <w:r/>
            <w:r>
              <w:rPr xsi:nil="true"/>
              <w:t>Rougui (Cinnamomum Cortex) + Ganjiang (Zingiberis Rhizoma)</w:t>
            </w:r>
          </w:p>
        </w:tc>
        <w:tc>
          <w:tcPr>
            <w:tcBorders/>
          </w:tcPr>
          <w:tcPr>
            <w:vAlign w:val="top"/>
          </w:tcPr>
          <w:p>
            <w:pPr>
              <w:jc w:val="left"/>
            </w:pPr>
            <w:r/>
            <w:r>
              <w:rPr xsi:nil="true"/>
              <w:t>2 h postprandial</w:t>
            </w:r>
            <w:r>
              <w:rPr xsi:nil="true"/>
              <w:t xml:space="preserve"> blood glucose</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4.64</w:t>
            </w:r>
          </w:p>
        </w:tc>
      </w:tr>
      <w:tr>
        <w:tc>
          <w:tcPr>
            <w:tcBorders/>
          </w:tcPr>
          <w:tcPr>
            <w:vAlign w:val="top"/>
          </w:tcPr>
          <w:p>
            <w:pPr>
              <w:jc w:val="left"/>
            </w:pPr>
            <w:r/>
            <w:r>
              <w:rPr xsi:nil="true"/>
              <w:t>Rougui (Cinnamomum Cortex) + Huangqin (Scutellariae Radix)</w:t>
            </w:r>
          </w:p>
        </w:tc>
        <w:tc>
          <w:tcPr>
            <w:tcBorders/>
          </w:tcPr>
          <w:tcPr>
            <w:vAlign w:val="top"/>
          </w:tcPr>
          <w:p>
            <w:pPr>
              <w:jc w:val="left"/>
            </w:pPr>
            <w:r/>
            <w:r>
              <w:rPr xsi:nil="true"/>
              <w:t>2 h postprandial</w:t>
            </w:r>
            <w:r>
              <w:rPr xsi:nil="true"/>
              <w:t xml:space="preserve"> blood glucose</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4.64</w:t>
            </w:r>
          </w:p>
        </w:tc>
      </w:tr>
      <w:tr>
        <w:tc>
          <w:tcPr>
            <w:tcBorders/>
          </w:tcPr>
          <w:tcPr>
            <w:vAlign w:val="top"/>
          </w:tcPr>
          <w:p>
            <w:pPr>
              <w:jc w:val="left"/>
            </w:pPr>
            <w:r/>
            <w:r>
              <w:rPr xsi:nil="true"/>
              <w:t>Qianshi (Euryales Semen) + Shuizhifen (Hirudo powder)</w:t>
            </w:r>
          </w:p>
        </w:tc>
        <w:tc>
          <w:tcPr>
            <w:tcBorders/>
          </w:tcPr>
          <w:tcPr>
            <w:vAlign w:val="top"/>
          </w:tcPr>
          <w:p>
            <w:pPr>
              <w:jc w:val="left"/>
            </w:pPr>
            <w:r/>
            <w:r>
              <w:rPr xsi:nil="true"/>
              <w:t>Creatinine</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4.25</w:t>
            </w:r>
          </w:p>
        </w:tc>
      </w:tr>
      <w:tr>
        <w:tc>
          <w:tcPr>
            <w:tcBorders/>
          </w:tcPr>
          <w:tcPr>
            <w:vAlign w:val="top"/>
          </w:tcPr>
          <w:p>
            <w:pPr>
              <w:jc w:val="left"/>
            </w:pPr>
            <w:r/>
            <w:r>
              <w:rPr xsi:nil="true"/>
              <w:t>Qianshi (Euryales Semen) + Jiudahuang (Wine-processed Rhei Radix et Rhizoma)</w:t>
            </w:r>
          </w:p>
        </w:tc>
        <w:tc>
          <w:tcPr>
            <w:tcBorders/>
          </w:tcPr>
          <w:tcPr>
            <w:vAlign w:val="top"/>
          </w:tcPr>
          <w:p>
            <w:pPr>
              <w:jc w:val="left"/>
            </w:pPr>
            <w:r/>
            <w:r>
              <w:rPr xsi:nil="true"/>
              <w:t>Creatinine</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4.25</w:t>
            </w:r>
          </w:p>
        </w:tc>
      </w:tr>
      <w:tr>
        <w:tc>
          <w:tcPr>
            <w:tcBorders/>
          </w:tcPr>
          <w:tcPr>
            <w:vAlign w:val="top"/>
          </w:tcPr>
          <w:p>
            <w:pPr>
              <w:jc w:val="left"/>
            </w:pPr>
            <w:r/>
            <w:r>
              <w:rPr xsi:nil="true"/>
              <w:t>Qianshi (Euryales Semen) + Huangqi (Astragali Radix)</w:t>
            </w:r>
          </w:p>
        </w:tc>
        <w:tc>
          <w:tcPr>
            <w:tcBorders/>
          </w:tcPr>
          <w:tcPr>
            <w:vAlign w:val="top"/>
          </w:tcPr>
          <w:p>
            <w:pPr>
              <w:jc w:val="left"/>
            </w:pPr>
            <w:r/>
            <w:r>
              <w:rPr xsi:nil="true"/>
              <w:t>Creatinine</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4.25</w:t>
            </w:r>
          </w:p>
        </w:tc>
      </w:tr>
      <w:tr>
        <w:tc>
          <w:tcPr>
            <w:tcBorders/>
          </w:tcPr>
          <w:tcPr>
            <w:vAlign w:val="top"/>
          </w:tcPr>
          <w:p>
            <w:pPr>
              <w:jc w:val="left"/>
            </w:pPr>
            <w:r/>
            <w:r>
              <w:rPr xsi:nil="true"/>
              <w:t>Qinjiao (Gentianae Macrophyllae Radix) + Qinpi (Fraxini Cortex)</w:t>
            </w:r>
          </w:p>
        </w:tc>
        <w:tc>
          <w:tcPr>
            <w:tcBorders/>
          </w:tcPr>
          <w:tcPr>
            <w:vAlign w:val="top"/>
          </w:tcPr>
          <w:p>
            <w:pPr>
              <w:jc w:val="left"/>
            </w:pPr>
            <w:r/>
            <w:r>
              <w:rPr xsi:nil="true"/>
              <w:t>Uric acid</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3.19</w:t>
            </w:r>
          </w:p>
        </w:tc>
      </w:tr>
      <w:tr>
        <w:tc>
          <w:tcPr>
            <w:tcBorders/>
          </w:tcPr>
          <w:tcPr>
            <w:vAlign w:val="top"/>
          </w:tcPr>
          <w:p>
            <w:pPr>
              <w:jc w:val="left"/>
            </w:pPr>
            <w:r/>
            <w:r>
              <w:rPr xsi:nil="true"/>
              <w:t>Qinjiao (Gentianae Macrophyllae Radix) + Weilingxian (Clematidis Radix et Rhizoma)</w:t>
            </w:r>
          </w:p>
        </w:tc>
        <w:tc>
          <w:tcPr>
            <w:tcBorders/>
          </w:tcPr>
          <w:tcPr>
            <w:vAlign w:val="top"/>
          </w:tcPr>
          <w:p>
            <w:pPr>
              <w:jc w:val="left"/>
            </w:pPr>
            <w:r/>
            <w:r>
              <w:rPr xsi:nil="true"/>
              <w:t>Uric acid</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3.19</w:t>
            </w:r>
          </w:p>
        </w:tc>
      </w:tr>
      <w:tr>
        <w:tc>
          <w:tcPr>
            <w:tcBorders/>
          </w:tcPr>
          <w:tcPr>
            <w:vAlign w:val="top"/>
          </w:tcPr>
          <w:p>
            <w:pPr>
              <w:jc w:val="left"/>
            </w:pPr>
            <w:r/>
            <w:r>
              <w:rPr xsi:nil="true"/>
              <w:t>Qinjiao (Gentianae Macrophyllae Radix) + Jixueteng (Spatholobi Caulis)</w:t>
            </w:r>
          </w:p>
        </w:tc>
        <w:tc>
          <w:tcPr>
            <w:tcBorders/>
          </w:tcPr>
          <w:tcPr>
            <w:vAlign w:val="top"/>
          </w:tcPr>
          <w:p>
            <w:pPr>
              <w:jc w:val="left"/>
            </w:pPr>
            <w:r/>
            <w:r>
              <w:rPr xsi:nil="true"/>
              <w:t>Uric acid</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3.19</w:t>
            </w:r>
          </w:p>
        </w:tc>
      </w:tr>
      <w:tr>
        <w:tc>
          <w:tcPr>
            <w:tcBorders/>
          </w:tcPr>
          <w:tcPr>
            <w:vAlign w:val="top"/>
          </w:tcPr>
          <w:p>
            <w:pPr>
              <w:jc w:val="left"/>
            </w:pPr>
            <w:r/>
            <w:r>
              <w:rPr xsi:nil="true"/>
              <w:t>Dilong (Rheretima) + Hanfangji (</w:t>
            </w:r>
            <w:r>
              <w:rPr xsi:nil="true">
                <w:i w:val="true"/>
              </w:rPr>
              <w:t>Sinomenium acutum</w:t>
            </w:r>
            <w:r>
              <w:rPr xsi:nil="true"/>
              <w:t>)</w:t>
            </w:r>
          </w:p>
        </w:tc>
        <w:tc>
          <w:tcPr>
            <w:tcBorders/>
          </w:tcPr>
          <w:tcPr>
            <w:vAlign w:val="top"/>
          </w:tcPr>
          <w:p>
            <w:pPr>
              <w:jc w:val="left"/>
            </w:pPr>
            <w:r/>
            <w:r>
              <w:rPr xsi:nil="true"/>
              <w:t>24 h urinary protein</w:t>
            </w:r>
            <w:r>
              <w:rPr xsi:nil="true"/>
              <w:t xml:space="preserve"> quantity</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 xml:space="preserve">10.20  </w:t>
            </w:r>
          </w:p>
        </w:tc>
      </w:tr>
      <w:tr>
        <w:tc>
          <w:tcPr>
            <w:tcBorders>
              <w:bottom w:val="basicThinLines"/>
            </w:tcBorders>
          </w:tcPr>
          <w:tcPr>
            <w:vAlign w:val="top"/>
          </w:tcPr>
          <w:p>
            <w:pPr>
              <w:jc w:val="left"/>
            </w:pPr>
            <w:r/>
            <w:r>
              <w:rPr xsi:nil="true"/>
              <w:t>Dilong (Rheretima) + Shuizhifen (Hirudo powder)</w:t>
            </w:r>
          </w:p>
        </w:tc>
        <w:tc>
          <w:tcPr>
            <w:tcBorders>
              <w:bottom w:val="basicThinLines"/>
            </w:tcBorders>
          </w:tcPr>
          <w:tcPr>
            <w:vAlign w:val="top"/>
          </w:tcPr>
          <w:p>
            <w:pPr>
              <w:jc w:val="left"/>
            </w:pPr>
            <w:r/>
            <w:r>
              <w:rPr xsi:nil="true"/>
              <w:t>24 h urinary protein</w:t>
            </w:r>
            <w:r>
              <w:rPr xsi:nil="true"/>
              <w:t xml:space="preserve"> quantity</w:t>
            </w:r>
          </w:p>
        </w:tc>
        <w:tc>
          <w:tcPr>
            <w:tcBorders>
              <w:bottom w:val="basicThinLines"/>
            </w:tcBorders>
          </w:tcPr>
          <w:tcPr>
            <w:vAlign w:val="top"/>
          </w:tcPr>
          <w:p>
            <w:pPr>
              <w:jc w:val="center"/>
            </w:pPr>
            <w:r/>
            <w:r>
              <w:rPr xsi:nil="true"/>
              <w:t>5.88</w:t>
            </w:r>
          </w:p>
        </w:tc>
        <w:tc>
          <w:tcPr>
            <w:tcBorders>
              <w:bottom w:val="basicThinLines"/>
            </w:tcBorders>
          </w:tcPr>
          <w:tcPr>
            <w:vAlign w:val="top"/>
          </w:tcPr>
          <w:p>
            <w:pPr>
              <w:jc w:val="center"/>
            </w:pPr>
            <w:r/>
            <w:r>
              <w:rPr xsi:nil="true"/>
              <w:t>100.00</w:t>
            </w:r>
          </w:p>
        </w:tc>
        <w:tc>
          <w:tcPr>
            <w:tcBorders>
              <w:bottom w:val="basicThinLines"/>
            </w:tcBorders>
          </w:tcPr>
          <w:tcPr>
            <w:vAlign w:val="top"/>
          </w:tcPr>
          <w:p>
            <w:pPr>
              <w:jc w:val="center"/>
            </w:pPr>
            <w:r/>
            <w:r>
              <w:rPr xsi:nil="true"/>
              <w:t xml:space="preserve">10.20  </w:t>
            </w:r>
          </w:p>
        </w:tc>
      </w:tr>
    </w:tbl>
    <w:p>
      <w:pPr>
        <w:ind w:firstLine="420"/>
        <w:rPr>
          <w:rFonts w:ascii="Times New Roman" w:hAnsi="宋体"/>
          <w:sz w:val="24"/>
          <w:szCs w:val="24"/>
        </w:rPr>
      </w:pPr>
    </w:p>
    <w:p>
      <w:pPr>
        <w:ind w:firstLine="480" w:firstLineChars="200"/>
        <w:rPr>
          <w:rFonts w:ascii="Times New Roman" w:hAnsi="宋体"/>
          <w:sz w:val="24"/>
          <w:szCs w:val="24"/>
        </w:rPr>
      </w:pPr>
    </w:p>
    <w:p>
      <w:pPr>
        <w:spacing w:after="156" w:afterLines="50" w:line="360" w:lineRule="auto"/>
        <w:ind w:firstLine="482" w:firstLineChars="200"/>
        <w:jc w:val="center"/>
        <w:rPr>
          <w:rFonts w:ascii="Times New Roman" w:hAnsi="宋体"/>
          <w:sz w:val="24"/>
          <w:szCs w:val="24"/>
        </w:rPr>
      </w:pPr>
      <w:r>
        <w:rPr>
          <w:rFonts w:ascii="Times New Roman" w:hAnsi="宋体" w:hint="eastAsia"/>
          <w:b/>
          <w:bCs/>
          <w:sz w:val="24"/>
          <w:szCs w:val="24"/>
        </w:rPr>
        <w:t xml:space="preserve">Table 13 </w:t>
      </w:r>
      <w:r>
        <w:rPr>
          <w:rFonts w:ascii="Times New Roman" w:hAnsi="宋体" w:hint="eastAsia"/>
          <w:sz w:val="24"/>
          <w:szCs w:val="24"/>
        </w:rPr>
        <w:t xml:space="preserve"> Drug-western medicine index fourth-order associations</w:t>
      </w:r>
    </w:p>
    <w:tbl>
      <w:tblPr>
        <w:tblStyleColBandSize w:val="30"/>
        <w:tblW w:w="8300" w:type="dxa"/>
        <w:jc w:val="center"/>
        <w:tblBorders>
          <w:top w:val="single"/>
          <w:left w:val="single"/>
          <w:bottom w:val="single"/>
          <w:right w:val="single"/>
          <w:insideH w:val="none" w:sz="0" w:space="0" w:color=""/>
          <w:insideV w:val="none" w:sz="0" w:space="0" w:color=""/>
        </w:tblBorders>
        <w:tblBorders>
          <w:top xsi:nil="true"/>
          <w:left xsi:nil="true"/>
          <w:bottom xsi:nil="true"/>
          <w:right xsi:nil="true"/>
        </w:tblBorders>
        <w:tblCellMar>
          <w:top w:type="dxa" w:w="0"/>
          <w:left w:type="dxa" w:w="30"/>
          <w:bottom w:type="dxa" w:w="0"/>
          <w:right w:type="dxa" w:w="30"/>
        </w:tblCellMar>
      </w:tblPr>
      <w:tr>
        <w:tc>
          <w:tcPr>
            <w:tcBorders>
              <w:top w:val="basicThinLines"/>
            </w:tcBorders>
          </w:tcPr>
          <w:tcPr>
            <w:vAlign w:val="center"/>
          </w:tcPr>
          <w:p>
            <w:pPr>
              <w:jc w:val="center"/>
            </w:pPr>
            <w:r/>
            <w:r>
              <w:rPr xsi:nil="true">
                <w:b w:val="true"/>
              </w:rPr>
              <w:t>Antecedent</w:t>
            </w:r>
          </w:p>
        </w:tc>
        <w:tc>
          <w:tcPr>
            <w:tcBorders>
              <w:top w:val="basicThinLines"/>
            </w:tcBorders>
          </w:tcPr>
          <w:tcPr>
            <w:vAlign w:val="center"/>
          </w:tcPr>
          <w:p>
            <w:pPr>
              <w:jc w:val="center"/>
            </w:pPr>
            <w:r/>
            <w:r>
              <w:rPr xsi:nil="true">
                <w:b w:val="true"/>
              </w:rPr>
              <w:t>Succedent</w:t>
            </w:r>
          </w:p>
        </w:tc>
        <w:tc>
          <w:tcPr>
            <w:tcBorders>
              <w:top w:val="basicThinLines"/>
            </w:tcBorders>
          </w:tcPr>
          <w:tcPr>
            <w:vAlign w:val="center"/>
          </w:tcPr>
          <w:p>
            <w:pPr>
              <w:jc w:val="center"/>
            </w:pPr>
            <w:r/>
            <w:r>
              <w:rPr xsi:nil="true">
                <w:b w:val="true"/>
              </w:rPr>
              <w:t>Support (%)</w:t>
            </w:r>
          </w:p>
        </w:tc>
        <w:tc>
          <w:tcPr>
            <w:tcBorders>
              <w:top w:val="basicThinLines"/>
            </w:tcBorders>
          </w:tcPr>
          <w:tcPr>
            <w:vAlign w:val="center"/>
          </w:tcPr>
          <w:p>
            <w:pPr>
              <w:jc w:val="center"/>
            </w:pPr>
            <w:r/>
            <w:r>
              <w:rPr xsi:nil="true">
                <w:b w:val="true"/>
              </w:rPr>
              <w:t>Confidence (%)</w:t>
            </w:r>
          </w:p>
        </w:tc>
        <w:tc>
          <w:tcPr>
            <w:tcBorders>
              <w:top w:val="basicThinLines"/>
            </w:tcBorders>
          </w:tcPr>
          <w:tcPr>
            <w:vAlign w:val="center"/>
          </w:tcPr>
          <w:p>
            <w:pPr>
              <w:jc w:val="center"/>
            </w:pPr>
            <w:r/>
            <w:r>
              <w:rPr xsi:nil="true">
                <w:b w:val="true"/>
              </w:rPr>
              <w:t>Lift</w:t>
            </w:r>
          </w:p>
        </w:tc>
      </w:tr>
      <w:tr>
        <w:tc>
          <w:tcPr>
            <w:tcBorders>
              <w:top w:val="basicThinLines"/>
            </w:tcBorders>
          </w:tcPr>
          <w:tcPr>
            <w:vAlign w:val="top"/>
          </w:tcPr>
          <w:p>
            <w:pPr>
              <w:jc w:val="left"/>
            </w:pPr>
            <w:r/>
            <w:r>
              <w:rPr xsi:nil="true"/>
              <w:t>Huanglian (Coptidis Rhizoma) + Ganjiang (Zingiberis Rhizoma) +Huangqin (Scutellariae Radix)</w:t>
            </w:r>
          </w:p>
        </w:tc>
        <w:tc>
          <w:tcPr>
            <w:tcBorders>
              <w:top w:val="basicThinLines"/>
            </w:tcBorders>
          </w:tcPr>
          <w:tcPr>
            <w:vAlign w:val="top"/>
          </w:tcPr>
          <w:p>
            <w:pPr>
              <w:jc w:val="left"/>
            </w:pPr>
            <w:r/>
            <w:r>
              <w:rPr xsi:nil="true"/>
              <w:t>Glycated hemoglobin</w:t>
            </w:r>
          </w:p>
        </w:tc>
        <w:tc>
          <w:tcPr>
            <w:tcBorders>
              <w:top w:val="basicThinLines"/>
            </w:tcBorders>
          </w:tcPr>
          <w:tcPr>
            <w:vAlign w:val="top"/>
          </w:tcPr>
          <w:p>
            <w:pPr>
              <w:jc w:val="center"/>
            </w:pPr>
            <w:r/>
            <w:r>
              <w:rPr xsi:nil="true"/>
              <w:t>9.80</w:t>
            </w:r>
          </w:p>
        </w:tc>
        <w:tc>
          <w:tcPr>
            <w:tcBorders>
              <w:top w:val="basicThinLines"/>
            </w:tcBorders>
          </w:tcPr>
          <w:tcPr>
            <w:vAlign w:val="top"/>
          </w:tcPr>
          <w:p>
            <w:pPr>
              <w:jc w:val="center"/>
            </w:pPr>
            <w:r/>
            <w:r>
              <w:rPr xsi:nil="true"/>
              <w:t>100.00</w:t>
            </w:r>
          </w:p>
        </w:tc>
        <w:tc>
          <w:tcPr>
            <w:tcBorders>
              <w:top w:val="basicThinLines"/>
            </w:tcBorders>
          </w:tcPr>
          <w:tcPr>
            <w:vAlign w:val="top"/>
          </w:tcPr>
          <w:p>
            <w:pPr>
              <w:jc w:val="center"/>
            </w:pPr>
            <w:r/>
            <w:r>
              <w:rPr xsi:nil="true"/>
              <w:t>3.40</w:t>
            </w:r>
          </w:p>
        </w:tc>
      </w:tr>
      <w:tr>
        <w:tc>
          <w:tcPr>
            <w:tcBorders/>
          </w:tcPr>
          <w:tcPr>
            <w:vAlign w:val="top"/>
          </w:tcPr>
          <w:p>
            <w:pPr>
              <w:jc w:val="left"/>
            </w:pPr>
            <w:r/>
            <w:r>
              <w:rPr xsi:nil="true"/>
              <w:t>Shengdihuang (Rehmanniae Radix) + Ganjiang (Zingiberis Rhizoma) + Huangqin (Scutellariae Radix)</w:t>
            </w:r>
          </w:p>
        </w:tc>
        <w:tc>
          <w:tcPr>
            <w:tcBorders/>
          </w:tcPr>
          <w:tcPr>
            <w:vAlign w:val="top"/>
          </w:tcPr>
          <w:p>
            <w:pPr>
              <w:jc w:val="left"/>
            </w:pPr>
            <w:r/>
            <w:r>
              <w:rPr xsi:nil="true"/>
              <w:t>Fasting blood glucose</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2.83</w:t>
            </w:r>
          </w:p>
        </w:tc>
      </w:tr>
      <w:tr>
        <w:tc>
          <w:tcPr>
            <w:tcBorders/>
          </w:tcPr>
          <w:tcPr>
            <w:vAlign w:val="top"/>
          </w:tcPr>
          <w:p>
            <w:pPr>
              <w:jc w:val="left"/>
            </w:pPr>
            <w:r/>
            <w:r>
              <w:rPr xsi:nil="true"/>
              <w:t>Shengdihuang (Rehmanniae Radix) + Ganjiang (Zingiberis Rhizoma) + Huanglian (Coptidis Rhizoma)</w:t>
            </w:r>
          </w:p>
        </w:tc>
        <w:tc>
          <w:tcPr>
            <w:tcBorders/>
          </w:tcPr>
          <w:tcPr>
            <w:vAlign w:val="top"/>
          </w:tcPr>
          <w:p>
            <w:pPr>
              <w:jc w:val="left"/>
            </w:pPr>
            <w:r/>
            <w:r>
              <w:rPr xsi:nil="true"/>
              <w:t>Fasting blood glucose</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2.83</w:t>
            </w:r>
          </w:p>
        </w:tc>
      </w:tr>
      <w:tr>
        <w:tc>
          <w:tcPr>
            <w:tcBorders/>
          </w:tcPr>
          <w:tcPr>
            <w:vAlign w:val="top"/>
          </w:tcPr>
          <w:p>
            <w:pPr>
              <w:jc w:val="left"/>
            </w:pPr>
            <w:r/>
            <w:r>
              <w:rPr xsi:nil="true"/>
              <w:t>Shengdihuang (Rehmanniae Radix) + Huangqin (Scutellariae Radix) + Huanglian (Coptidis Rhizoma)</w:t>
            </w:r>
          </w:p>
        </w:tc>
        <w:tc>
          <w:tcPr>
            <w:tcBorders/>
          </w:tcPr>
          <w:tcPr>
            <w:vAlign w:val="top"/>
          </w:tcPr>
          <w:p>
            <w:pPr>
              <w:jc w:val="left"/>
            </w:pPr>
            <w:r/>
            <w:r>
              <w:rPr xsi:nil="true"/>
              <w:t>Fasting blood glucose</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2.83</w:t>
            </w:r>
          </w:p>
        </w:tc>
      </w:tr>
      <w:tr>
        <w:tc>
          <w:tcPr>
            <w:tcBorders/>
          </w:tcPr>
          <w:tcPr>
            <w:vAlign w:val="top"/>
          </w:tcPr>
          <w:p>
            <w:pPr>
              <w:jc w:val="left"/>
            </w:pPr>
            <w:r/>
            <w:r>
              <w:rPr xsi:nil="true"/>
              <w:t>Rougui (Cinnamomi Cortex) + Ganjiang (Zingiberis Rhizoma) +Huangqin (Scutellariae Radix)</w:t>
            </w:r>
          </w:p>
        </w:tc>
        <w:tc>
          <w:tcPr>
            <w:tcBorders/>
          </w:tcPr>
          <w:tcPr>
            <w:vAlign w:val="top"/>
          </w:tcPr>
          <w:p>
            <w:pPr>
              <w:jc w:val="left"/>
            </w:pPr>
            <w:r/>
            <w:r>
              <w:rPr xsi:nil="true"/>
              <w:t>2 h postprandial</w:t>
            </w:r>
            <w:r>
              <w:rPr xsi:nil="true"/>
              <w:t xml:space="preserve"> blood glucose</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4.64</w:t>
            </w:r>
          </w:p>
        </w:tc>
      </w:tr>
      <w:tr>
        <w:tc>
          <w:tcPr>
            <w:tcBorders/>
          </w:tcPr>
          <w:tcPr>
            <w:vAlign w:val="top"/>
          </w:tcPr>
          <w:p>
            <w:pPr>
              <w:jc w:val="left"/>
            </w:pPr>
            <w:r/>
            <w:r>
              <w:rPr xsi:nil="true"/>
              <w:t>Rougui (Cinnamomi Cortex) +Ganjiang (Zingiberis Rhizoma) +Huanglian (Coptidis Rhizoma)</w:t>
            </w:r>
          </w:p>
        </w:tc>
        <w:tc>
          <w:tcPr>
            <w:tcBorders/>
          </w:tcPr>
          <w:tcPr>
            <w:vAlign w:val="top"/>
          </w:tcPr>
          <w:p>
            <w:pPr>
              <w:jc w:val="left"/>
            </w:pPr>
            <w:r/>
            <w:r>
              <w:rPr xsi:nil="true"/>
              <w:t>2 h postprandial</w:t>
            </w:r>
            <w:r>
              <w:rPr xsi:nil="true"/>
              <w:t xml:space="preserve"> blood glucose</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4.64</w:t>
            </w:r>
          </w:p>
        </w:tc>
      </w:tr>
      <w:tr>
        <w:tc>
          <w:tcPr>
            <w:tcBorders/>
          </w:tcPr>
          <w:tcPr>
            <w:vAlign w:val="top"/>
          </w:tcPr>
          <w:p>
            <w:pPr>
              <w:jc w:val="left"/>
            </w:pPr>
            <w:r/>
            <w:r>
              <w:rPr xsi:nil="true"/>
              <w:t>Rougui (Cinnamomi Cortex) + Huangqin (Scutellariae Radix) +Huanglian (Coptidis Rhizoma)</w:t>
            </w:r>
          </w:p>
        </w:tc>
        <w:tc>
          <w:tcPr>
            <w:tcBorders/>
          </w:tcPr>
          <w:tcPr>
            <w:vAlign w:val="top"/>
          </w:tcPr>
          <w:p>
            <w:pPr>
              <w:jc w:val="left"/>
            </w:pPr>
            <w:r/>
            <w:r>
              <w:rPr xsi:nil="true"/>
              <w:t>2 h postprandial</w:t>
            </w:r>
            <w:r>
              <w:rPr xsi:nil="true"/>
              <w:t xml:space="preserve"> blood glucose</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4.64</w:t>
            </w:r>
          </w:p>
        </w:tc>
      </w:tr>
      <w:tr>
        <w:tc>
          <w:tcPr>
            <w:tcBorders/>
          </w:tcPr>
          <w:tcPr>
            <w:vAlign w:val="top"/>
          </w:tcPr>
          <w:p>
            <w:pPr>
              <w:jc w:val="left"/>
            </w:pPr>
            <w:r/>
            <w:r>
              <w:rPr xsi:nil="true"/>
              <w:t>Qianshi (Euryales Semen) + Shuizhifen (Hirudo powder) +Jiudahuang (Wine-processed Rhei Radix et Rhizoma)</w:t>
            </w:r>
          </w:p>
        </w:tc>
        <w:tc>
          <w:tcPr>
            <w:tcBorders/>
          </w:tcPr>
          <w:tcPr>
            <w:vAlign w:val="top"/>
          </w:tcPr>
          <w:p>
            <w:pPr>
              <w:jc w:val="left"/>
            </w:pPr>
            <w:r/>
            <w:r>
              <w:rPr xsi:nil="true"/>
              <w:t>Creatinine</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4.25</w:t>
            </w:r>
          </w:p>
        </w:tc>
      </w:tr>
      <w:tr>
        <w:tc>
          <w:tcPr>
            <w:tcBorders/>
          </w:tcPr>
          <w:tcPr>
            <w:vAlign w:val="top"/>
          </w:tcPr>
          <w:p>
            <w:pPr>
              <w:jc w:val="left"/>
            </w:pPr>
            <w:r/>
            <w:r>
              <w:rPr xsi:nil="true"/>
              <w:t>Qianshi (Euryales Semen) + Shuizhifen (Hirudo powder) +</w:t>
            </w:r>
            <w:r>
              <w:rPr xsi:nil="true"/>
              <w:t>Huangqi (Astragali Radix)</w:t>
            </w:r>
          </w:p>
        </w:tc>
        <w:tc>
          <w:tcPr>
            <w:tcBorders/>
          </w:tcPr>
          <w:tcPr>
            <w:vAlign w:val="top"/>
          </w:tcPr>
          <w:p>
            <w:pPr>
              <w:jc w:val="left"/>
            </w:pPr>
            <w:r/>
            <w:r>
              <w:rPr xsi:nil="true"/>
              <w:t>Creatinine</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4.25</w:t>
            </w:r>
          </w:p>
        </w:tc>
      </w:tr>
      <w:tr>
        <w:tc>
          <w:tcPr>
            <w:tcBorders/>
          </w:tcPr>
          <w:tcPr>
            <w:vAlign w:val="top"/>
          </w:tcPr>
          <w:p>
            <w:pPr>
              <w:jc w:val="left"/>
            </w:pPr>
            <w:r/>
            <w:r>
              <w:rPr xsi:nil="true"/>
              <w:t>Qianshi (Euryales Semen) + Jiudahuang (Wine-processed Rhei Radix et Rhizoma) +Huangqi (Astragali Radix)</w:t>
            </w:r>
          </w:p>
        </w:tc>
        <w:tc>
          <w:tcPr>
            <w:tcBorders/>
          </w:tcPr>
          <w:tcPr>
            <w:vAlign w:val="top"/>
          </w:tcPr>
          <w:p>
            <w:pPr>
              <w:jc w:val="left"/>
            </w:pPr>
            <w:r/>
            <w:r>
              <w:rPr xsi:nil="true"/>
              <w:t>Creatinine</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4.25</w:t>
            </w:r>
          </w:p>
        </w:tc>
      </w:tr>
      <w:tr>
        <w:tc>
          <w:tcPr>
            <w:tcBorders/>
          </w:tcPr>
          <w:tcPr>
            <w:vAlign w:val="top"/>
          </w:tcPr>
          <w:p>
            <w:pPr>
              <w:jc w:val="left"/>
            </w:pPr>
            <w:r/>
            <w:r>
              <w:rPr xsi:nil="true"/>
              <w:t>Qinjiao (Gentianae Macrophyllae Radix) + Qinpi (Fraxini Cortex) +Gegen (Pueraria Lobata Radix)</w:t>
            </w:r>
          </w:p>
        </w:tc>
        <w:tc>
          <w:tcPr>
            <w:tcBorders/>
          </w:tcPr>
          <w:tcPr>
            <w:vAlign w:val="top"/>
          </w:tcPr>
          <w:p>
            <w:pPr>
              <w:jc w:val="left"/>
            </w:pPr>
            <w:r/>
            <w:r>
              <w:rPr xsi:nil="true"/>
              <w:t>Uric acid</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3.19</w:t>
            </w:r>
          </w:p>
        </w:tc>
      </w:tr>
      <w:tr>
        <w:tc>
          <w:tcPr>
            <w:tcBorders/>
          </w:tcPr>
          <w:tcPr>
            <w:vAlign w:val="top"/>
          </w:tcPr>
          <w:p>
            <w:pPr>
              <w:jc w:val="left"/>
            </w:pPr>
            <w:r/>
            <w:r>
              <w:rPr xsi:nil="true"/>
              <w:t>Qinjiao (Gentianae Macrophyllae Radix) + Qinpi (Fraxini Cortex) +Weilingxian (Clematidis Radix et Rhizoma)</w:t>
            </w:r>
          </w:p>
        </w:tc>
        <w:tc>
          <w:tcPr>
            <w:tcBorders/>
          </w:tcPr>
          <w:tcPr>
            <w:vAlign w:val="top"/>
          </w:tcPr>
          <w:p>
            <w:pPr>
              <w:jc w:val="left"/>
            </w:pPr>
            <w:r/>
            <w:r>
              <w:rPr xsi:nil="true"/>
              <w:t>Uric acid</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3.19</w:t>
            </w:r>
          </w:p>
        </w:tc>
      </w:tr>
      <w:tr>
        <w:tc>
          <w:tcPr>
            <w:tcBorders/>
          </w:tcPr>
          <w:tcPr>
            <w:vAlign w:val="top"/>
          </w:tcPr>
          <w:p>
            <w:pPr>
              <w:jc w:val="left"/>
            </w:pPr>
            <w:r/>
            <w:r>
              <w:rPr xsi:nil="true"/>
              <w:t>Qinjiao (Gentianae Macrophyllae Radix) + Qinpi (Fraxini Cortex) +Jixueteng (Spatholobi Caulis)</w:t>
            </w:r>
          </w:p>
        </w:tc>
        <w:tc>
          <w:tcPr>
            <w:tcBorders/>
          </w:tcPr>
          <w:tcPr>
            <w:vAlign w:val="top"/>
          </w:tcPr>
          <w:p>
            <w:pPr>
              <w:jc w:val="left"/>
            </w:pPr>
            <w:r/>
            <w:r>
              <w:rPr xsi:nil="true"/>
              <w:t>Uric acid</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3.19</w:t>
            </w:r>
          </w:p>
        </w:tc>
      </w:tr>
      <w:tr>
        <w:tc>
          <w:tcPr>
            <w:tcBorders/>
          </w:tcPr>
          <w:tcPr>
            <w:vAlign w:val="top"/>
          </w:tcPr>
          <w:p>
            <w:pPr>
              <w:jc w:val="left"/>
            </w:pPr>
            <w:r/>
            <w:r>
              <w:rPr xsi:nil="true"/>
              <w:t>Dilong (Pheretima) + Hanfangji (</w:t>
            </w:r>
            <w:r>
              <w:rPr xsi:nil="true">
                <w:i w:val="true"/>
              </w:rPr>
              <w:t>Sinomenium acutum</w:t>
            </w:r>
            <w:r>
              <w:rPr xsi:nil="true"/>
              <w:t>) +</w:t>
            </w:r>
            <w:r>
              <w:rPr xsi:nil="true"/>
              <w:t xml:space="preserve"> Shuizhifen (Hirudo powder)</w:t>
            </w:r>
          </w:p>
        </w:tc>
        <w:tc>
          <w:tcPr>
            <w:tcBorders/>
          </w:tcPr>
          <w:tcPr>
            <w:vAlign w:val="top"/>
          </w:tcPr>
          <w:p>
            <w:pPr>
              <w:jc w:val="left"/>
            </w:pPr>
            <w:r/>
            <w:r>
              <w:rPr xsi:nil="true"/>
              <w:t>24 h urinary protein quantity</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10.20</w:t>
            </w:r>
          </w:p>
        </w:tc>
      </w:tr>
      <w:tr>
        <w:tc>
          <w:tcPr>
            <w:tcBorders/>
          </w:tcPr>
          <w:tcPr>
            <w:vAlign w:val="top"/>
          </w:tcPr>
          <w:p>
            <w:pPr>
              <w:jc w:val="left"/>
            </w:pPr>
            <w:r/>
            <w:r>
              <w:rPr xsi:nil="true"/>
              <w:t>Dilong (Pheretima) + Hanfangji (</w:t>
            </w:r>
            <w:r>
              <w:rPr xsi:nil="true">
                <w:i w:val="true"/>
              </w:rPr>
              <w:t>Sinomenium acutum</w:t>
            </w:r>
            <w:r>
              <w:rPr xsi:nil="true"/>
              <w:t>) +</w:t>
            </w:r>
            <w:r>
              <w:rPr xsi:nil="true"/>
              <w:t xml:space="preserve"> Weilingxian (Clematidis Radix et Rhizoma)</w:t>
            </w:r>
          </w:p>
        </w:tc>
        <w:tc>
          <w:tcPr>
            <w:tcBorders/>
          </w:tcPr>
          <w:tcPr>
            <w:vAlign w:val="top"/>
          </w:tcPr>
          <w:p>
            <w:pPr>
              <w:jc w:val="left"/>
            </w:pPr>
            <w:r/>
            <w:r>
              <w:rPr xsi:nil="true"/>
              <w:t>24 h urinary protein quantity</w:t>
            </w:r>
          </w:p>
        </w:tc>
        <w:tc>
          <w:tcPr>
            <w:tcBorders/>
          </w:tcPr>
          <w:tcPr>
            <w:vAlign w:val="top"/>
          </w:tcPr>
          <w:p>
            <w:pPr>
              <w:jc w:val="center"/>
            </w:pPr>
            <w:r/>
            <w:r>
              <w:rPr xsi:nil="true"/>
              <w:t>5.88</w:t>
            </w:r>
          </w:p>
        </w:tc>
        <w:tc>
          <w:tcPr>
            <w:tcBorders/>
          </w:tcPr>
          <w:tcPr>
            <w:vAlign w:val="top"/>
          </w:tcPr>
          <w:p>
            <w:pPr>
              <w:jc w:val="center"/>
            </w:pPr>
            <w:r/>
            <w:r>
              <w:rPr xsi:nil="true"/>
              <w:t>100.00</w:t>
            </w:r>
          </w:p>
        </w:tc>
        <w:tc>
          <w:tcPr>
            <w:tcBorders/>
          </w:tcPr>
          <w:tcPr>
            <w:vAlign w:val="top"/>
          </w:tcPr>
          <w:p>
            <w:pPr>
              <w:jc w:val="center"/>
            </w:pPr>
            <w:r/>
            <w:r>
              <w:rPr xsi:nil="true"/>
              <w:t>10.20</w:t>
            </w:r>
          </w:p>
        </w:tc>
      </w:tr>
      <w:tr>
        <w:tc>
          <w:tcPr>
            <w:tcBorders>
              <w:bottom w:val="basicThinLines"/>
            </w:tcBorders>
          </w:tcPr>
          <w:tcPr>
            <w:vAlign w:val="top"/>
          </w:tcPr>
          <w:p>
            <w:pPr>
              <w:jc w:val="left"/>
            </w:pPr>
            <w:r/>
            <w:r>
              <w:rPr xsi:nil="true"/>
              <w:t>Dilong (Pheretima) + Hanfangji (</w:t>
            </w:r>
            <w:r>
              <w:rPr xsi:nil="true">
                <w:i w:val="true"/>
              </w:rPr>
              <w:t>Sinomenium acutum</w:t>
            </w:r>
            <w:r>
              <w:rPr xsi:nil="true"/>
              <w:t>) + Huangqi (Astragali Radix)</w:t>
            </w:r>
          </w:p>
        </w:tc>
        <w:tc>
          <w:tcPr>
            <w:tcBorders>
              <w:bottom w:val="basicThinLines"/>
            </w:tcBorders>
          </w:tcPr>
          <w:tcPr>
            <w:vAlign w:val="top"/>
          </w:tcPr>
          <w:p>
            <w:pPr>
              <w:jc w:val="left"/>
            </w:pPr>
            <w:r/>
            <w:r>
              <w:rPr xsi:nil="true"/>
              <w:t>24 h urinary protein quantity</w:t>
            </w:r>
          </w:p>
        </w:tc>
        <w:tc>
          <w:tcPr>
            <w:tcBorders>
              <w:bottom w:val="basicThinLines"/>
            </w:tcBorders>
          </w:tcPr>
          <w:tcPr>
            <w:vAlign w:val="top"/>
          </w:tcPr>
          <w:p>
            <w:pPr>
              <w:jc w:val="center"/>
            </w:pPr>
            <w:r/>
            <w:r>
              <w:rPr xsi:nil="true"/>
              <w:t>5.88</w:t>
            </w:r>
          </w:p>
        </w:tc>
        <w:tc>
          <w:tcPr>
            <w:tcBorders>
              <w:bottom w:val="basicThinLines"/>
            </w:tcBorders>
          </w:tcPr>
          <w:tcPr>
            <w:vAlign w:val="top"/>
          </w:tcPr>
          <w:p>
            <w:pPr>
              <w:jc w:val="center"/>
            </w:pPr>
            <w:r/>
            <w:r>
              <w:rPr xsi:nil="true"/>
              <w:t>100.00</w:t>
            </w:r>
          </w:p>
        </w:tc>
        <w:tc>
          <w:tcPr>
            <w:tcBorders>
              <w:bottom w:val="basicThinLines"/>
            </w:tcBorders>
          </w:tcPr>
          <w:tcPr>
            <w:vAlign w:val="top"/>
          </w:tcPr>
          <w:p>
            <w:pPr>
              <w:jc w:val="center"/>
            </w:pPr>
            <w:r/>
            <w:r>
              <w:rPr xsi:nil="true"/>
              <w:t>10.20</w:t>
            </w:r>
          </w:p>
        </w:tc>
      </w:tr>
    </w:tbl>
    <w:p>
      <w:pPr>
        <w:ind w:firstLine="420"/>
        <w:rPr>
          <w:rFonts w:ascii="Times New Roman" w:hAnsi="宋体"/>
          <w:sz w:val="24"/>
          <w:szCs w:val="24"/>
        </w:rPr>
      </w:pPr>
    </w:p>
    <w:p>
      <w:pPr>
        <w:spacing w:before="156" w:beforeLines="50" w:line="360" w:lineRule="auto"/>
        <w:jc w:val="left"/>
        <w:rPr>
          <w:rFonts w:ascii="Times New Roman" w:hAnsi="宋体"/>
          <w:sz w:val="24"/>
          <w:szCs w:val="24"/>
        </w:rPr>
      </w:pPr>
      <w:r>
        <w:rPr>
          <w:rFonts w:ascii="Times New Roman" w:hAnsi="宋体" w:hint="eastAsia"/>
          <w:b/>
          <w:sz w:val="32"/>
          <w:szCs w:val="32"/>
        </w:rPr>
        <w:t>4  Discussion</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In order to address the shortcomings of conventional TCM treatment methods, which were “focusing on the symptoms at the moment rather than the entire treatment course” “focusing on conditioning the state rather than targeting the disease”, and “focusing on individualized treatment rather than a consistent approach”, Academician TONG Xiaolin proposed a novel TCM theoretical system centered around “state-target syndrome differentiation”. The system has two key contents, with the first being a “disease and syndrome integration” model for the “classification-staging-differentiation” of disease, and the second being the “stage and target integration” model that combines “macro-conditioning” with “micro-targeting” </w:t>
      </w:r>
      <w:r>
        <w:rPr>
          <w:rFonts w:ascii="Times New Roman" w:hAnsi="宋体" w:hint="eastAsia"/>
          <w:sz w:val="24"/>
          <w:szCs w:val="24"/>
          <w:vertAlign w:val="superscript"/>
        </w:rPr>
        <w:t>[</w:t>
      </w:r>
      <w:r>
        <w:rPr>
          <w:rFonts w:ascii="Times New Roman" w:hAnsi="宋体" w:hint="eastAsia"/>
          <w:sz w:val="24"/>
          <w:szCs w:val="24"/>
          <w:vertAlign w:val="superscript"/>
        </w:rPr>
        <w:t>9</w:t>
      </w:r>
      <w:r>
        <w:rPr>
          <w:rFonts w:ascii="Times New Roman" w:hAnsi="宋体" w:hint="eastAsia"/>
          <w:sz w:val="24"/>
          <w:szCs w:val="24"/>
          <w:vertAlign w:val="superscript"/>
        </w:rPr>
        <w:t>]</w:t>
      </w:r>
      <w:r>
        <w:rPr>
          <w:rFonts w:ascii="Times New Roman" w:hAnsi="宋体" w:hint="eastAsia"/>
          <w:sz w:val="24"/>
          <w:szCs w:val="24"/>
        </w:rPr>
        <w:t xml:space="preserve">. Academician TONG Xiaolin pointed out that the spleen dampness syndrome was first caused by food stagnation, which was then converted to heat. Heat consumption subsequently led to deficiency and eventually impairment. Therefore, he divided the initiation and progression of the disease into four stages, i.e., stagnation, heat, deficiency, and impairment </w:t>
      </w:r>
      <w:r>
        <w:rPr>
          <w:rFonts w:ascii="Times New Roman" w:hAnsi="宋体" w:hint="eastAsia"/>
          <w:sz w:val="24"/>
          <w:szCs w:val="24"/>
          <w:vertAlign w:val="superscript"/>
        </w:rPr>
        <w:t>[</w:t>
      </w:r>
      <w:r>
        <w:rPr>
          <w:rFonts w:ascii="Times New Roman" w:hAnsi="宋体" w:hint="eastAsia"/>
          <w:sz w:val="24"/>
          <w:szCs w:val="24"/>
          <w:vertAlign w:val="superscript"/>
        </w:rPr>
        <w:t>10</w:t>
      </w:r>
      <w:r>
        <w:rPr>
          <w:rFonts w:ascii="Times New Roman" w:hAnsi="宋体" w:hint="eastAsia"/>
          <w:sz w:val="24"/>
          <w:szCs w:val="24"/>
          <w:vertAlign w:val="superscript"/>
        </w:rPr>
        <w:t>]</w:t>
      </w:r>
      <w:r>
        <w:rPr>
          <w:rFonts w:ascii="Times New Roman" w:hAnsi="宋体" w:hint="eastAsia"/>
          <w:sz w:val="24"/>
          <w:szCs w:val="24"/>
        </w:rPr>
        <w:t>. Patients at the deficiency stage would primarily experience syndromes including spleen deficiency and stomach stagnation, spleen deficiency and stomach heat, and upper heat and lower cold. As the disease further progresses, liver, spleen and kidney functions start to fail, indicating that the disease has entered the impairment stage. Main syndromes experienced during this stage include Yin deficiency of the liver and kidney, simultaneous deficiency of both Yin and Yang, and Yang deficiency of the spleen and kidney.</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This study collected the medical records of patients diagnosed with the deficiency and impairment stage under the </w:t>
      </w:r>
      <w:r>
        <w:rPr>
          <w:rFonts w:ascii="Times New Roman" w:hAnsi="宋体" w:hint="eastAsia"/>
          <w:i w:val="true"/>
          <w:sz w:val="24"/>
          <w:szCs w:val="24"/>
        </w:rPr>
        <w:t>New Theory on Spleen Dampness Syndrome</w:t>
      </w:r>
      <w:r>
        <w:rPr>
          <w:rFonts w:ascii="Times New Roman" w:hAnsi="宋体" w:hint="eastAsia"/>
          <w:sz w:val="24"/>
          <w:szCs w:val="24"/>
        </w:rPr>
        <w:t>, which, according to the staging differentiation model, involved 17 types of syndromes. The most common syndrome was phlegm and blood stasis and thoracic obstruction. In addition, it was found that all 17 types of syndromes belonged to the category of intermingled deficiency and excessiveness. Factors leading to excessiveness included phlegm, blood stasis, cold, dampness (turbidity), water, and heat, whereas those leading to deficiency included Qi deficiency, blood deficiency, Yang deficiency, and Yin deficiency, involving organs such as the spleen, kidney, heart, liver, and meridian. Therefore, it indicated that despite the progression of the disease to the deficiency and impairment stage, the pathogenesis of the spleen warm syndrome was still due to intermingled deficiency and excessive or intermingled heat and cold. Frequency analysis of treatment methods against corresponding syndromes showed that activating Yang and eliminating turbidity together with removing phlegm and dredging channel blockage was the most frequently used method. Treatment methods used to eliminate pathogens included removing, reducing, and clearing phlegm; invigorating the blood circulation and activating the channels, dredging channel blockage, removing obstructions, and dispersing hard mass; dispelling cold and activating Yang; eliminating turbidity, dispelling pathogenic dampness, inducing diuresis, and dispelling dampness; and relieving heat, clearing the upper body, purging fire, clearing the stomach, and soothing the liver. Alternatively, methods focusing on strengthening the body included benefiting Qi, warming Yang, nourishing blood, nourishing Yin, replenishing Yin, subsiding Yang, strengthening the spleen, tonifying the kidney, warming the meridians, etc. The treatment methods adopted by Academician TONG Xiaolin were both comprehensive and precise. Alternatively, a total of 51 prescriptions were used, of which Huangqi Guizhi Wuwu Tang was the most frequently used one. The most commonly used drug was Huanglian (Coptidis Rhizoma), which indicated that Academician TONG Xiaolin frequently used the drug to not only reduce  blood glucose levels, but also to relieve heat and dispel dampness to regulate the patient’s pathological state of phlegm dampness, thereby realizing the concept of “state-target” via macro-conditioning and micro-targeting.</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The drug-drug association rule mining showed Academician TONG Xiaolin’s drug prescription patterns. The second-order drug-drug association rule mining mainly reflected the concept of “drug pairs”. Among various second-order drug-drug associations, the most common combination was “Huangqin (Scutellariae Radix) → Huanglian (Coptidis Rhizoma)”, which had a support of 29.41% and a confidence of 100%. Other drugs that could form a pair with Huanglian (Coptidis Rhizoma) included Ganjiang (Zingiberis Rhizoma), Rougui (Cinnamomi Cortex), Baishao (Paeoniae Radix Alba), and Chuanwu (Radix Aconiti). As a bitter cold drug, Huanglian (Coptidis Rhizoma) can damage the stomach Qi upon long-term use. Therefore, Academician TONG Xiaolin prescribed it together with Ganjiang (Zingiberis Rhizoma), Rougui (Cinnamomi Cortex), and Chuanwu (Radix Aconiti), which could not only suppress the cold from Huanglian (Coptidis Rhizoma), but also warm Yang to activate the channels. Academician TONG Xiaolin believed that Chuanwu (Aconiti Radix) was the top “Yang-activating” drug owing to its function of warming the meridians and activating the channels as well as removing obstructions and dispelling cold </w:t>
      </w:r>
      <w:r>
        <w:rPr>
          <w:rFonts w:ascii="Times New Roman" w:hAnsi="宋体" w:hint="eastAsia"/>
          <w:sz w:val="24"/>
          <w:szCs w:val="24"/>
          <w:vertAlign w:val="superscript"/>
        </w:rPr>
        <w:t>[</w:t>
      </w:r>
      <w:r>
        <w:rPr>
          <w:rFonts w:ascii="Times New Roman" w:hAnsi="宋体" w:hint="eastAsia"/>
          <w:sz w:val="24"/>
          <w:szCs w:val="24"/>
          <w:vertAlign w:val="superscript"/>
        </w:rPr>
        <w:t>11</w:t>
      </w:r>
      <w:r>
        <w:rPr>
          <w:rFonts w:ascii="Times New Roman" w:hAnsi="宋体" w:hint="eastAsia"/>
          <w:sz w:val="24"/>
          <w:szCs w:val="24"/>
          <w:vertAlign w:val="superscript"/>
        </w:rPr>
        <w:t>]</w:t>
      </w:r>
      <w:r>
        <w:rPr>
          <w:rFonts w:ascii="Times New Roman" w:hAnsi="宋体" w:hint="eastAsia"/>
          <w:sz w:val="24"/>
          <w:szCs w:val="24"/>
        </w:rPr>
        <w:t xml:space="preserve">. The combination of Huanglian (Coptidis Rhizoma) and Baishao (Paeoniae Radix Alba) could harmonize the body and astringe Yin as well as relieve pain, making it particularly effective against spleen dampness diabetes caused by the hyperactivity of fire due to Yin deficiency. Similarly, the “Huangqin (Scutellariae Radix) - Ganjiang (Zingiberis Rhizoma)” drug pair served to dispel cold. In contrast, drugs that could form a pair with Huangqi (Astragali Radix) mainly consisted of Shuizhifen (Hirudo powder), Weilingxian (Clematidis Radix et Rhizoma), and Baishao (Paeoniae Radix Alba). Academician TONG Xiaolin treated the spleen-warm syndrome frequently with Huangqi Guizhi Wuwu Tang, and on the basis of large doses of Huangqi (Astragali Radix), added Shuizhifen (Hirudo powder) to address the issue of increased urine protein, Weilingxian (Clematidis Radix et Rhizoma) to address the issue of increased uric acid, and Baishao (Paeoniae Radix Alba) to benefit Qi, harmonize the body, and astringe Yin. Subsequently, drugs that were paired with Jixueteng (Spatholobi Caulis) included Gegen (Pueraria Lobata Radix), Chuanwu (Radix Aconiti), Baishao (Paeoniae Radix Alba), and Guizhi (Cinnamomi Ramulus). Academician TONG Xiaolin proposed the “Glucose-collateral disease” theory </w:t>
      </w:r>
      <w:r>
        <w:rPr>
          <w:rFonts w:ascii="Times New Roman" w:hAnsi="宋体" w:hint="eastAsia"/>
          <w:sz w:val="24"/>
          <w:szCs w:val="24"/>
          <w:vertAlign w:val="superscript"/>
        </w:rPr>
        <w:t>[</w:t>
      </w:r>
      <w:r>
        <w:rPr>
          <w:rFonts w:ascii="Times New Roman" w:hAnsi="宋体" w:hint="eastAsia"/>
          <w:sz w:val="24"/>
          <w:szCs w:val="24"/>
          <w:vertAlign w:val="superscript"/>
        </w:rPr>
        <w:t>12</w:t>
      </w:r>
      <w:r>
        <w:rPr>
          <w:rFonts w:ascii="Times New Roman" w:hAnsi="宋体" w:hint="eastAsia"/>
          <w:sz w:val="24"/>
          <w:szCs w:val="24"/>
          <w:vertAlign w:val="superscript"/>
        </w:rPr>
        <w:t>]</w:t>
      </w:r>
      <w:r>
        <w:rPr>
          <w:rFonts w:ascii="Times New Roman" w:hAnsi="宋体" w:hint="eastAsia"/>
          <w:sz w:val="24"/>
          <w:szCs w:val="24"/>
        </w:rPr>
        <w:t xml:space="preserve">, which took advantage of the capability of Jixueteng (Spatholobi Caulis) to nourish blood, promote blood circulation, and activate channels, and supplemented it with the aforementioned drugs to remove obstructions in the collaterals and relieve pain. In contrast, the third- and fourth-order drug-drug associations mainly reflected the concept of “small prescriptions” and “subtle prescriptions” </w:t>
      </w:r>
      <w:r>
        <w:rPr>
          <w:rFonts w:ascii="Times New Roman" w:hAnsi="宋体" w:hint="eastAsia"/>
          <w:sz w:val="24"/>
          <w:szCs w:val="24"/>
          <w:vertAlign w:val="superscript"/>
        </w:rPr>
        <w:t>[</w:t>
      </w:r>
      <w:r>
        <w:rPr>
          <w:rFonts w:ascii="Times New Roman" w:hAnsi="宋体" w:hint="eastAsia"/>
          <w:sz w:val="24"/>
          <w:szCs w:val="24"/>
          <w:vertAlign w:val="superscript"/>
        </w:rPr>
        <w:t>13</w:t>
      </w:r>
      <w:r>
        <w:rPr>
          <w:rFonts w:ascii="Times New Roman" w:hAnsi="宋体" w:hint="eastAsia"/>
          <w:sz w:val="24"/>
          <w:szCs w:val="24"/>
          <w:vertAlign w:val="superscript"/>
        </w:rPr>
        <w:t>]</w:t>
      </w:r>
      <w:r>
        <w:rPr>
          <w:rFonts w:ascii="Times New Roman" w:hAnsi="宋体" w:hint="eastAsia"/>
          <w:sz w:val="24"/>
          <w:szCs w:val="24"/>
        </w:rPr>
        <w:t xml:space="preserve">. </w:t>
      </w:r>
      <w:r>
        <w:rPr>
          <w:rFonts w:ascii="Times New Roman" w:hAnsi="宋体" w:hint="eastAsia"/>
          <w:i w:val="true"/>
          <w:sz w:val="24"/>
          <w:szCs w:val="24"/>
        </w:rPr>
        <w:t>Basic Questions ·  Essentials on Disease and Therapy</w:t>
      </w:r>
      <w:r>
        <w:rPr>
          <w:rFonts w:ascii="Times New Roman" w:hAnsi="宋体" w:hint="eastAsia"/>
          <w:sz w:val="24"/>
          <w:szCs w:val="24"/>
        </w:rPr>
        <w:t xml:space="preserve"> (</w:t>
      </w:r>
      <w:r>
        <w:rPr>
          <w:rFonts w:ascii="Times New Roman" w:hAnsi="宋体" w:hint="eastAsia"/>
          <w:i w:val="true"/>
          <w:sz w:val="24"/>
          <w:szCs w:val="24"/>
        </w:rPr>
        <w:t>Su Wen · Zhi Zhen Yao Da Lun Pian</w:t>
      </w:r>
      <w:r>
        <w:rPr>
          <w:rFonts w:ascii="Times New Roman" w:hAnsi="宋体" w:hint="eastAsia"/>
          <w:sz w:val="24"/>
          <w:szCs w:val="24"/>
        </w:rPr>
        <w:t xml:space="preserve">, 《素问·至真要大论篇》) mentioned that “One monarch drug and two ministerial drugs make a small prescription”. In clinical practice, treatment of the disease’s “treatment target” and “syndrome target” using small prescriptions has achieved good therapeutic effects </w:t>
      </w:r>
      <w:r>
        <w:rPr>
          <w:rFonts w:ascii="Times New Roman" w:hAnsi="宋体" w:hint="eastAsia"/>
          <w:sz w:val="24"/>
          <w:szCs w:val="24"/>
          <w:vertAlign w:val="superscript"/>
        </w:rPr>
        <w:t>[</w:t>
      </w:r>
      <w:r>
        <w:rPr>
          <w:rFonts w:ascii="Times New Roman" w:hAnsi="宋体" w:hint="eastAsia"/>
          <w:sz w:val="24"/>
          <w:szCs w:val="24"/>
          <w:vertAlign w:val="superscript"/>
        </w:rPr>
        <w:t>14</w:t>
      </w:r>
      <w:r>
        <w:rPr>
          <w:rFonts w:ascii="Times New Roman" w:hAnsi="宋体" w:hint="eastAsia"/>
          <w:sz w:val="24"/>
          <w:szCs w:val="24"/>
          <w:vertAlign w:val="superscript"/>
        </w:rPr>
        <w:t>]</w:t>
      </w:r>
      <w:r>
        <w:rPr>
          <w:rFonts w:ascii="Times New Roman" w:hAnsi="宋体" w:hint="eastAsia"/>
          <w:sz w:val="24"/>
          <w:szCs w:val="24"/>
        </w:rPr>
        <w:t xml:space="preserve">. Among the third-order associations, the “Huangqin (Scutellariae Radix) + Huanglian (Coptidis Rhizoma) + Ganjiang (Zingiberis Rhizoma)” combination utilized the idea of using Ganjiang (Zingiberis Rhizoma) to promote the effect of Huangqin (Scutellariae Radix) and Huanglian (Coptidis Rhizoma) in dispelling cold. Alternatively, the combination of “Huangqi (Astragali Radix) +Guizhi (Cinnamomi Ramulus) +Baishao (Paeoniae Radix Alba) + Shengjiang (Zingiberis Rhizoma Recens)” embodied Academician TONG Xiaolin’s academic thoughts on using Huangqi Guizhi Wuwu Tang to treat deficiency and impairment. It is worth noting that the combination of “Huangqi (Astragali Radix) +Guizhi (Cinnamomi Ramulus) + Jixueteng (Spatholobi Caulis)”, a tailored version of Huangqi Guizhi Wuwu Tang, was frequently used by Academician TONG Xiaolin to replace the latter </w:t>
      </w:r>
      <w:r>
        <w:rPr>
          <w:rFonts w:ascii="Times New Roman" w:hAnsi="宋体" w:hint="eastAsia"/>
          <w:sz w:val="24"/>
          <w:szCs w:val="24"/>
          <w:vertAlign w:val="superscript"/>
        </w:rPr>
        <w:t>[</w:t>
      </w:r>
      <w:r>
        <w:rPr>
          <w:rFonts w:ascii="Times New Roman" w:hAnsi="宋体" w:hint="eastAsia"/>
          <w:sz w:val="24"/>
          <w:szCs w:val="24"/>
          <w:vertAlign w:val="superscript"/>
        </w:rPr>
        <w:t>15</w:t>
      </w:r>
      <w:r>
        <w:rPr>
          <w:rFonts w:ascii="Times New Roman" w:hAnsi="宋体" w:hint="eastAsia"/>
          <w:sz w:val="24"/>
          <w:szCs w:val="24"/>
          <w:vertAlign w:val="superscript"/>
        </w:rPr>
        <w:t>]</w:t>
      </w:r>
      <w:r>
        <w:rPr>
          <w:rFonts w:ascii="Times New Roman" w:hAnsi="宋体" w:hint="eastAsia"/>
          <w:sz w:val="24"/>
          <w:szCs w:val="24"/>
        </w:rPr>
        <w:t>. Finally, a combination of “Chuanwu (Radix Aconiti) + Guizhi (Cinnamomi Ramulus) + Jixueteng (Spatholobi Caulis)” was commonly used by Academician TONG Xiaolin against the blockage of channels.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Results of the drug-symptom association rule mining is a manifestation of Academician TONG Xiaolin’s prescriptions against the “syndrome target” in his “stage-target” syndrome differentiation method. For example, Academician TONG Xiaolin used large doses of Huangqi (Astragali Radix) to treat limb edema. </w:t>
      </w:r>
      <w:r>
        <w:rPr>
          <w:rFonts w:ascii="Times New Roman" w:hAnsi="宋体" w:hint="eastAsia"/>
          <w:i w:val="true"/>
          <w:sz w:val="24"/>
          <w:szCs w:val="24"/>
        </w:rPr>
        <w:t>Basic Questions · Acupuncture treatment in Water and Febrile Diseases</w:t>
      </w:r>
      <w:r>
        <w:rPr>
          <w:rFonts w:ascii="Times New Roman" w:hAnsi="宋体" w:hint="eastAsia"/>
          <w:sz w:val="24"/>
          <w:szCs w:val="24"/>
        </w:rPr>
        <w:t xml:space="preserve"> (</w:t>
      </w:r>
      <w:r>
        <w:rPr>
          <w:rFonts w:ascii="Times New Roman" w:hAnsi="宋体" w:hint="eastAsia"/>
          <w:i w:val="true"/>
          <w:sz w:val="24"/>
          <w:szCs w:val="24"/>
        </w:rPr>
        <w:t>Su</w:t>
      </w:r>
      <w:r>
        <w:rPr>
          <w:rFonts w:ascii="Times New Roman" w:hAnsi="宋体" w:hint="eastAsia"/>
          <w:sz w:val="24"/>
          <w:szCs w:val="24"/>
        </w:rPr>
        <w:t xml:space="preserve"> </w:t>
      </w:r>
      <w:r>
        <w:rPr>
          <w:rFonts w:ascii="Times New Roman" w:hAnsi="宋体" w:hint="eastAsia"/>
          <w:i w:val="true"/>
          <w:sz w:val="24"/>
          <w:szCs w:val="24"/>
        </w:rPr>
        <w:t>Wen · Shui Re Xue Lun</w:t>
      </w:r>
      <w:r>
        <w:rPr>
          <w:rFonts w:ascii="Times New Roman" w:hAnsi="宋体" w:hint="eastAsia"/>
          <w:sz w:val="24"/>
          <w:szCs w:val="24"/>
        </w:rPr>
        <w:t xml:space="preserve">, 《素问·水热穴论》) stated that “The kidneys are the door to the stomach. If the door is not properly closed, water will gather and become excessive. The excessive water will then overflow to the skin and cause edema.” The source of edema is the kidneys. Huangqi (Astragali Radix) is sweet in taste and slightly warm in nature and is capable of replenishing Qi and strengthening the exterior as well as inducing diuresis to alleviate edema. Therefore, the use of Huangqi (Astragali Radix) can benefit Qi and promote diuresis </w:t>
      </w:r>
      <w:r>
        <w:rPr>
          <w:rFonts w:ascii="Times New Roman" w:hAnsi="宋体" w:hint="eastAsia"/>
          <w:sz w:val="24"/>
          <w:szCs w:val="24"/>
          <w:vertAlign w:val="superscript"/>
        </w:rPr>
        <w:t>[</w:t>
      </w:r>
      <w:r>
        <w:rPr>
          <w:rFonts w:ascii="Times New Roman" w:hAnsi="宋体" w:hint="eastAsia"/>
          <w:sz w:val="24"/>
          <w:szCs w:val="24"/>
          <w:vertAlign w:val="superscript"/>
        </w:rPr>
        <w:t>16</w:t>
      </w:r>
      <w:r>
        <w:rPr>
          <w:rFonts w:ascii="Times New Roman" w:hAnsi="宋体" w:hint="eastAsia"/>
          <w:sz w:val="24"/>
          <w:szCs w:val="24"/>
          <w:vertAlign w:val="superscript"/>
        </w:rPr>
        <w:t>]</w:t>
      </w:r>
      <w:r>
        <w:rPr>
          <w:rFonts w:ascii="Times New Roman" w:hAnsi="宋体" w:hint="eastAsia"/>
          <w:sz w:val="24"/>
          <w:szCs w:val="24"/>
        </w:rPr>
        <w:t xml:space="preserve">. Modern research has reported that Astragaloside IV can effectively prevent and treat various nephropathy, such as acute kidney injury, diabetic nephropathy, and membranous nephropathy </w:t>
      </w:r>
      <w:r>
        <w:rPr>
          <w:rFonts w:ascii="Times New Roman" w:hAnsi="宋体" w:hint="eastAsia"/>
          <w:sz w:val="24"/>
          <w:szCs w:val="24"/>
          <w:vertAlign w:val="superscript"/>
        </w:rPr>
        <w:t>[</w:t>
      </w:r>
      <w:r>
        <w:rPr>
          <w:rFonts w:ascii="Times New Roman" w:hAnsi="宋体" w:hint="eastAsia"/>
          <w:sz w:val="24"/>
          <w:szCs w:val="24"/>
          <w:vertAlign w:val="superscript"/>
        </w:rPr>
        <w:t>17</w:t>
      </w:r>
      <w:r>
        <w:rPr>
          <w:rFonts w:ascii="Times New Roman" w:hAnsi="宋体" w:hint="eastAsia"/>
          <w:sz w:val="24"/>
          <w:szCs w:val="24"/>
          <w:vertAlign w:val="superscript"/>
        </w:rPr>
        <w:t>]</w:t>
      </w:r>
      <w:r>
        <w:rPr>
          <w:rFonts w:ascii="Times New Roman" w:hAnsi="宋体" w:hint="eastAsia"/>
          <w:sz w:val="24"/>
          <w:szCs w:val="24"/>
        </w:rPr>
        <w:t xml:space="preserve">. Alternatively, limb numbness and pain were treated with drug pairs or small prescriptions of Huangqi (Astragali Radix), Guizhi (Cinnamomi Ramulus), Jixueteng (Spatholobi Caulis), Chuanwu (Radix Aconiti), and Baishao (Paeoniae Radix Alba). It is worth noting that in addition to the aforementioned combinations, Academician TONG Xiaolin added Dahuang (Rhei Radix et Rhizoma) to the treatment of cold limbs. He believed that “Dahuang (Rhei Radix et Rhizoma) can eliminate kidney turbidity (toxin)” and pointed out that “(A small dose of) Dahuang (Rhei Radix et Rhizoma) is the channel ushering drug of the kidneys” </w:t>
      </w:r>
      <w:r>
        <w:rPr>
          <w:rFonts w:ascii="Times New Roman" w:hAnsi="宋体" w:hint="eastAsia"/>
          <w:sz w:val="24"/>
          <w:szCs w:val="24"/>
          <w:vertAlign w:val="superscript"/>
        </w:rPr>
        <w:t>[</w:t>
      </w:r>
      <w:r>
        <w:rPr>
          <w:rFonts w:ascii="Times New Roman" w:hAnsi="宋体" w:hint="eastAsia"/>
          <w:sz w:val="24"/>
          <w:szCs w:val="24"/>
          <w:vertAlign w:val="superscript"/>
        </w:rPr>
        <w:t>18</w:t>
      </w:r>
      <w:r>
        <w:rPr>
          <w:rFonts w:ascii="Times New Roman" w:hAnsi="宋体" w:hint="eastAsia"/>
          <w:sz w:val="24"/>
          <w:szCs w:val="24"/>
          <w:vertAlign w:val="superscript"/>
        </w:rPr>
        <w:t>]</w:t>
      </w:r>
      <w:r>
        <w:rPr>
          <w:rFonts w:ascii="Times New Roman" w:hAnsi="宋体" w:hint="eastAsia"/>
          <w:sz w:val="24"/>
          <w:szCs w:val="24"/>
        </w:rPr>
        <w:t>. In contrast, fatigue was treated with the combination of Huangqi (Astragali Radix), Dahuang (Rheum Officinale), and Zexie (Alismatis Rhizoma) to benefit Qi, induce diuresis, and eliminate turbidity, along with Shuizhifen (Hirudo powder) to promote blood circulation and reduce protein concentration. The treatment of insomnia adopted Suanzaoren (Ziziphi Spinosae Semen), Wuweizi (Schisandrae Chinensis Fructus), and Duanmuli (Calcined Ostreae Concha) to astringe Yin and repose, and the prescription was sometimes supplemented with a small dose of Huanglian (Coptidis Rhizoma) to purge the heart-fire. Polyuria, on the other hand, was treated with Guizhi (Cinnamomi Ramulus) to transform Qi and induce diuresis, supplemented with Fuzi (Aconiti Lateralis Radix Praeparata) to warm Yang and Yunfuling (</w:t>
      </w:r>
      <w:r>
        <w:rPr>
          <w:rFonts w:ascii="Times New Roman" w:hAnsi="宋体" w:hint="eastAsia"/>
          <w:i w:val="true"/>
          <w:sz w:val="24"/>
          <w:szCs w:val="24"/>
        </w:rPr>
        <w:t>Wolfiporia extensa</w:t>
      </w:r>
      <w:r>
        <w:rPr>
          <w:rFonts w:ascii="Times New Roman" w:hAnsi="宋体" w:hint="eastAsia"/>
          <w:sz w:val="24"/>
          <w:szCs w:val="24"/>
        </w:rPr>
        <w:t>) to strengthen the spleen and excrete dampness. Enlarged tongue body was predominantly treated with Dangshen (Codonopsis Radix) to benefit Qi and Wumei (Mume Fructus) to collect acid. Collateral stasis at the bottom of the tongue was treated with Heye (Nelumbinis Folium) to ascend lucidity and eliminate dampness, and if heat needed to be removed from the blood, Sanqi (Notoginseng Radix et Rhizoma) was added to promote blood circulation, dispel blood stasis, and activate the channels. Lastly, tongue with a greasy coating was treated with Guizhi (Cinnamomi Ramulus) and Fuzi (Aconiti Lateralis Radix Praeparata) to warm Yang and transform Qi, together with Yunfuling (</w:t>
      </w:r>
      <w:r>
        <w:rPr>
          <w:rFonts w:ascii="Times New Roman" w:hAnsi="宋体" w:hint="eastAsia"/>
          <w:i w:val="true"/>
          <w:sz w:val="24"/>
          <w:szCs w:val="24"/>
        </w:rPr>
        <w:t>Wolfiporia extensa</w:t>
      </w:r>
      <w:r>
        <w:rPr>
          <w:rFonts w:ascii="Times New Roman" w:hAnsi="宋体" w:hint="eastAsia"/>
          <w:sz w:val="24"/>
          <w:szCs w:val="24"/>
        </w:rPr>
        <w:t>) to eliminate dampness or Hongshen (Ginseng Radix et Rhizoma Rubra) to benefit Qi.</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The data analysis of this study specifically included drug-western medicine index association rule mining to explore Academician TONG Xiaolin’s prescription rules against the “treatment target”. Drugs associated with uric acid consisted of “Qinpi (Fraxini Cortex), Weilingxian (Clematidis Radix et Rhizoma), Qinjiao (Gentianae Macrophyllae Radix)”, and their combinations. These three drugs can dispel wind, eliminate dampness, and relieve pain, thereby promoting the excretion of uric acid. The latest research has found that the main chemical components of Qinpi (Cortex Fraxini) are coumarins, lignans, secoiridoid glycosides, phenethyl alcohol glycosides, flavonoids, phenolic acids, and triterpenes </w:t>
      </w:r>
      <w:r>
        <w:rPr>
          <w:rFonts w:ascii="Times New Roman" w:hAnsi="宋体" w:hint="eastAsia"/>
          <w:sz w:val="24"/>
          <w:szCs w:val="24"/>
          <w:vertAlign w:val="superscript"/>
        </w:rPr>
        <w:t>[</w:t>
      </w:r>
      <w:r>
        <w:rPr>
          <w:rFonts w:ascii="Times New Roman" w:hAnsi="宋体" w:hint="eastAsia"/>
          <w:sz w:val="24"/>
          <w:szCs w:val="24"/>
          <w:vertAlign w:val="superscript"/>
        </w:rPr>
        <w:t>19</w:t>
      </w:r>
      <w:r>
        <w:rPr>
          <w:rFonts w:ascii="Times New Roman" w:hAnsi="宋体" w:hint="eastAsia"/>
          <w:sz w:val="24"/>
          <w:szCs w:val="24"/>
          <w:vertAlign w:val="superscript"/>
        </w:rPr>
        <w:t>]</w:t>
      </w:r>
      <w:r>
        <w:rPr>
          <w:rFonts w:ascii="Times New Roman" w:hAnsi="宋体" w:hint="eastAsia"/>
          <w:sz w:val="24"/>
          <w:szCs w:val="24"/>
        </w:rPr>
        <w:t xml:space="preserve">. Pharmacological research on Qinpi (Fraxini Cortex) primarily focused on its antibacterial, antibacterial, anti-inflammatory, antioxidant, diuretic, and anti-hyperuricemia effects </w:t>
      </w:r>
      <w:r>
        <w:rPr>
          <w:rFonts w:ascii="Times New Roman" w:hAnsi="宋体" w:hint="eastAsia"/>
          <w:sz w:val="24"/>
          <w:szCs w:val="24"/>
          <w:vertAlign w:val="superscript"/>
        </w:rPr>
        <w:t>[</w:t>
      </w:r>
      <w:r>
        <w:rPr>
          <w:rFonts w:ascii="Times New Roman" w:hAnsi="宋体" w:hint="eastAsia"/>
          <w:sz w:val="24"/>
          <w:szCs w:val="24"/>
          <w:vertAlign w:val="superscript"/>
        </w:rPr>
        <w:t>20</w:t>
      </w:r>
      <w:r>
        <w:rPr>
          <w:rFonts w:ascii="Times New Roman" w:hAnsi="宋体" w:hint="eastAsia"/>
          <w:sz w:val="24"/>
          <w:szCs w:val="24"/>
          <w:vertAlign w:val="superscript"/>
        </w:rPr>
        <w:t>]</w:t>
      </w:r>
      <w:r>
        <w:rPr>
          <w:rFonts w:ascii="Times New Roman" w:hAnsi="宋体" w:hint="eastAsia"/>
          <w:sz w:val="24"/>
          <w:szCs w:val="24"/>
        </w:rPr>
        <w:t>. Alternatively, the ethanol extract of Qinjiao (Gentianae Macrophyllae Radix) can alleviate the joint injury of rat models of sodium urate gouty arthritis, the mechanism of which is related to the downregulation of serum TNF-</w:t>
      </w:r>
      <w:r>
        <w:rPr>
          <w:rFonts w:ascii="Times New Roman" w:hAnsi="宋体" w:hint="eastAsia"/>
          <w:i w:val="true"/>
          <w:sz w:val="24"/>
          <w:szCs w:val="24"/>
        </w:rPr>
        <w:t>α</w:t>
      </w:r>
      <w:r>
        <w:rPr>
          <w:rFonts w:ascii="Times New Roman" w:hAnsi="宋体" w:hint="eastAsia"/>
          <w:sz w:val="24"/>
          <w:szCs w:val="24"/>
        </w:rPr>
        <w:t>, IL-1</w:t>
      </w:r>
      <w:r>
        <w:rPr>
          <w:rFonts w:ascii="Times New Roman" w:hAnsi="宋体" w:hint="eastAsia"/>
          <w:i w:val="true"/>
          <w:sz w:val="24"/>
          <w:szCs w:val="24"/>
        </w:rPr>
        <w:t>β</w:t>
      </w:r>
      <w:r>
        <w:rPr>
          <w:rFonts w:ascii="Times New Roman" w:hAnsi="宋体" w:hint="eastAsia"/>
          <w:sz w:val="24"/>
          <w:szCs w:val="24"/>
        </w:rPr>
        <w:t xml:space="preserve">, IL-6, PGE2, and MMP-3 expressions </w:t>
      </w:r>
      <w:r>
        <w:rPr>
          <w:rFonts w:ascii="Times New Roman" w:hAnsi="宋体" w:hint="eastAsia"/>
          <w:sz w:val="24"/>
          <w:szCs w:val="24"/>
          <w:vertAlign w:val="superscript"/>
        </w:rPr>
        <w:t>[</w:t>
      </w:r>
      <w:r>
        <w:rPr>
          <w:rFonts w:ascii="Times New Roman" w:hAnsi="宋体" w:hint="eastAsia"/>
          <w:sz w:val="24"/>
          <w:szCs w:val="24"/>
          <w:vertAlign w:val="superscript"/>
        </w:rPr>
        <w:t>21</w:t>
      </w:r>
      <w:r>
        <w:rPr>
          <w:rFonts w:ascii="Times New Roman" w:hAnsi="宋体" w:hint="eastAsia"/>
          <w:sz w:val="24"/>
          <w:szCs w:val="24"/>
          <w:vertAlign w:val="superscript"/>
        </w:rPr>
        <w:t>]</w:t>
      </w:r>
      <w:r>
        <w:rPr>
          <w:rFonts w:ascii="Times New Roman" w:hAnsi="宋体" w:hint="eastAsia"/>
          <w:sz w:val="24"/>
          <w:szCs w:val="24"/>
        </w:rPr>
        <w:t xml:space="preserve">. Meanwhile, Weilingxian (Clematidis Radix et Rhizoma) can significantly reduce the blood uric acid, the erythrocyte sedimentation rate, and the C-reactive protein level </w:t>
      </w:r>
      <w:r>
        <w:rPr>
          <w:rFonts w:ascii="Times New Roman" w:hAnsi="宋体" w:hint="eastAsia"/>
          <w:sz w:val="24"/>
          <w:szCs w:val="24"/>
          <w:vertAlign w:val="superscript"/>
        </w:rPr>
        <w:t>[</w:t>
      </w:r>
      <w:r>
        <w:rPr>
          <w:rFonts w:ascii="Times New Roman" w:hAnsi="宋体" w:hint="eastAsia"/>
          <w:sz w:val="24"/>
          <w:szCs w:val="24"/>
          <w:vertAlign w:val="superscript"/>
        </w:rPr>
        <w:t>22</w:t>
      </w:r>
      <w:r>
        <w:rPr>
          <w:rFonts w:ascii="Times New Roman" w:hAnsi="宋体" w:hint="eastAsia"/>
          <w:sz w:val="24"/>
          <w:szCs w:val="24"/>
          <w:vertAlign w:val="superscript"/>
        </w:rPr>
        <w:t>]</w:t>
      </w:r>
      <w:r>
        <w:rPr>
          <w:rFonts w:ascii="Times New Roman" w:hAnsi="宋体" w:hint="eastAsia"/>
          <w:sz w:val="24"/>
          <w:szCs w:val="24"/>
        </w:rPr>
        <w:t xml:space="preserve">. In addition, modern pharmacology has shown that owing to their obvious effects of reducing uric acid, Qinpi (Fraxini Cortex) and Weilingxian (Clematidis Radix et Rhizoma) are considered the “target” drugs for the treatment of hyperuricemia, and their effects are universal regardless of the disease type </w:t>
      </w:r>
      <w:r>
        <w:rPr>
          <w:rFonts w:ascii="Times New Roman" w:hAnsi="宋体" w:hint="eastAsia"/>
          <w:sz w:val="24"/>
          <w:szCs w:val="24"/>
          <w:vertAlign w:val="superscript"/>
        </w:rPr>
        <w:t>[</w:t>
      </w:r>
      <w:r>
        <w:rPr>
          <w:rFonts w:ascii="Times New Roman" w:hAnsi="宋体" w:hint="eastAsia"/>
          <w:sz w:val="24"/>
          <w:szCs w:val="24"/>
          <w:vertAlign w:val="superscript"/>
        </w:rPr>
        <w:t>23</w:t>
      </w:r>
      <w:r>
        <w:rPr>
          <w:rFonts w:ascii="Times New Roman" w:hAnsi="宋体" w:hint="eastAsia"/>
          <w:sz w:val="24"/>
          <w:szCs w:val="24"/>
          <w:vertAlign w:val="superscript"/>
        </w:rPr>
        <w:t>]</w:t>
      </w:r>
      <w:r>
        <w:rPr>
          <w:rFonts w:ascii="Times New Roman" w:hAnsi="宋体" w:hint="eastAsia"/>
          <w:sz w:val="24"/>
          <w:szCs w:val="24"/>
        </w:rPr>
        <w:t xml:space="preserve">. In contrast, drugs associated with fasting blood glucose and glycosylated hemoglobin included Shengdihuang (Rehmanniae Radix), Huangqin (Scutellariae Radix), Huanglian (Coptidis Rhizoma), Ganjiang (Zingiberis Rhizoma), and their combinations. The adoption of Huangqin (Scutellariae Radix) and Huanglian (Coptidis Rhizoma) was because of their bitter and sour taste that could precisely resolve the target. Composed mainly of berberine, Huanglian (Rhizoma Coptidis) has been shown by clinical studies to demonstrate a superior control effect on fasting insulin and fasting blood glucose levels </w:t>
      </w:r>
      <w:r>
        <w:rPr>
          <w:rFonts w:ascii="Times New Roman" w:hAnsi="宋体" w:hint="eastAsia"/>
          <w:sz w:val="24"/>
          <w:szCs w:val="24"/>
          <w:vertAlign w:val="superscript"/>
        </w:rPr>
        <w:t>[</w:t>
      </w:r>
      <w:r>
        <w:rPr>
          <w:rFonts w:ascii="Times New Roman" w:hAnsi="宋体" w:hint="eastAsia"/>
          <w:sz w:val="24"/>
          <w:szCs w:val="24"/>
          <w:vertAlign w:val="superscript"/>
        </w:rPr>
        <w:t>24</w:t>
      </w:r>
      <w:r>
        <w:rPr>
          <w:rFonts w:ascii="Times New Roman" w:hAnsi="宋体" w:hint="eastAsia"/>
          <w:sz w:val="24"/>
          <w:szCs w:val="24"/>
          <w:vertAlign w:val="superscript"/>
        </w:rPr>
        <w:t>]</w:t>
      </w:r>
      <w:r>
        <w:rPr>
          <w:rFonts w:ascii="Times New Roman" w:hAnsi="宋体" w:hint="eastAsia"/>
          <w:sz w:val="24"/>
          <w:szCs w:val="24"/>
        </w:rPr>
        <w:t xml:space="preserve">. In addition, Huangqin (Scutellariae Radix) can relieve lung heat, while Huanglian (Coptidis Rhizoma) can relieve stomach heat. The mechanism of the treatment of type 2 diabetes with the “Huangqin (Scutellariae Radix) + Huanglian (Coptidis Rhizoma)” pair was likely related to the improvement of insulin resistance, the protection of pancreatic islet B cells, and the regulation of glucose metabolism. In addition, the efficacy of the combined prescription is better than that of using either of the drug alone </w:t>
      </w:r>
      <w:r>
        <w:rPr>
          <w:rFonts w:ascii="Times New Roman" w:hAnsi="宋体" w:hint="eastAsia"/>
          <w:sz w:val="24"/>
          <w:szCs w:val="24"/>
          <w:vertAlign w:val="superscript"/>
        </w:rPr>
        <w:t>[</w:t>
      </w:r>
      <w:r>
        <w:rPr>
          <w:rFonts w:ascii="Times New Roman" w:hAnsi="宋体" w:hint="eastAsia"/>
          <w:sz w:val="24"/>
          <w:szCs w:val="24"/>
          <w:vertAlign w:val="superscript"/>
        </w:rPr>
        <w:t>25</w:t>
      </w:r>
      <w:r>
        <w:rPr>
          <w:rFonts w:ascii="Times New Roman" w:hAnsi="宋体" w:hint="eastAsia"/>
          <w:sz w:val="24"/>
          <w:szCs w:val="24"/>
          <w:vertAlign w:val="superscript"/>
        </w:rPr>
        <w:t>]</w:t>
      </w:r>
      <w:r>
        <w:rPr>
          <w:rFonts w:ascii="Times New Roman" w:hAnsi="宋体" w:hint="eastAsia"/>
          <w:sz w:val="24"/>
          <w:szCs w:val="24"/>
        </w:rPr>
        <w:t>. Lastly, treatment targeting creatinine utilized Qianshi (Euryales Semen) supplemented with Huangqi (Astragali Radix), Dahuang (Rhei Radix et Rhizoma), and Shuizhifen (Hirudo powder), the main purpose of which was to preserve the kidney function.</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This study adopted association rule mining to investigate the drug combinations used by Academician TONG Xiaolin to treat patients with the spleen dampness syndrome in the deficiency and impairment stage. Through frequency analysis and association rule mining, the study explored the common drug combinations Academician TONG Xiaolin used against the spleen dampness syndrome and summarized the basic prescriptions as well as their characteristics. The drug-symptom associations revealed Academician TONG Xiaolin’s prescription rules for the “syndrome target”, while the drug-western medicine index associations showed his prescription rules for the “treatment target”, both of which were consistent with his views in related articles. The results of this study can reveal Academician TONG Xiaolin’s academic thoughts and provide references for future research on his ideas and medical experience.</w:t>
      </w:r>
    </w:p>
    <w:p>
      <w:pPr>
        <w:spacing w:before="156" w:beforeLines="50" w:line="360" w:lineRule="auto"/>
        <w:jc w:val="left"/>
        <w:rPr>
          <w:rFonts w:ascii="Times New Roman" w:hAnsi="宋体"/>
          <w:sz w:val="24"/>
          <w:szCs w:val="24"/>
        </w:rPr>
      </w:pPr>
      <w:r>
        <w:rPr>
          <w:rFonts w:ascii="Times New Roman" w:hAnsi="宋体" w:hint="eastAsia"/>
          <w:b/>
          <w:sz w:val="32"/>
          <w:szCs w:val="32"/>
        </w:rPr>
        <w:t xml:space="preserve">  Fundings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The Construction of First-class Integrated Traditional Chinese and western Medicine Disciplines in Guangxi (Scientific Research Project No. 12 of Guangxi Ministry of Education [2018]</w:t>
      </w:r>
      <w:r>
        <w:rPr>
          <w:rFonts w:ascii="Times New Roman" w:hAnsi="宋体" w:hint="eastAsia"/>
          <w:sz w:val="24"/>
          <w:szCs w:val="24"/>
        </w:rPr>
        <w:t>), and Qihuang High-level Talent Team Training Projects of Guangxi University of Chinese Medicine − Application of Systems Biology in Chinese Medicine Research (2021005).</w:t>
      </w:r>
    </w:p>
    <w:p w14:paraId="5A44182D" w14:textId="1B58BCED" w:rsidP="00B87651" w:rsidR="008343A3" w:rsidRDefault="00B87651" w:rsidRPr="00BE7F81">
      <w:pPr>
        <w:pStyle w:val="2"/>
        <w:rPr>
          <w:rFonts w:ascii="Times New Roman" w:cs="Times New Roman" w:hAnsi="Times New Roman"/>
        </w:rPr>
      </w:pPr>
      <w:r w:rsidRPr="00BE7F81">
        <w:rPr>
          <w:rFonts w:ascii="Times New Roman" w:cs="Times New Roman" w:hAnsi="Times New Roman"/>
        </w:rPr>
        <w:t>Competing Interests</w:t>
      </w:r>
    </w:p>
    <w:p w14:paraId="223CC42A" w14:textId="34B67D1E" w:rsidP="005C371A" w:rsidR="00B87651" w:rsidRDefault="00B87651">
      <w:pPr>
        <w:autoSpaceDE w:val="0"/>
        <w:autoSpaceDN w:val="0"/>
        <w:adjustRightInd w:val="0"/>
        <w:spacing w:line="360" w:lineRule="auto"/>
        <w:jc w:val="left"/>
        <w:rPr>
          <w:rFonts w:ascii="Times New Roman" w:hAnsi="Times New Roman"/>
          <w:sz w:val="24"/>
          <w:szCs w:val="24"/>
        </w:rPr>
      </w:pPr>
      <w:r w:rsidRPr="00B87651">
        <w:rPr>
          <w:rFonts w:ascii="Times New Roman" w:hAnsi="Times New Roman"/>
          <w:sz w:val="24"/>
          <w:szCs w:val="24"/>
        </w:rPr>
        <w:t>The authors declare no conflict of interest.</w:t>
      </w:r>
    </w:p>
    <w:p w14:paraId="57EAC110" w14:textId="77777777" w:rsidP="005C371A" w:rsidR="00B87651" w:rsidRDefault="00B87651" w:rsidRPr="008343A3">
      <w:pPr>
        <w:autoSpaceDE w:val="0"/>
        <w:autoSpaceDN w:val="0"/>
        <w:adjustRightInd w:val="0"/>
        <w:spacing w:line="360" w:lineRule="auto"/>
        <w:jc w:val="left"/>
        <w:rPr>
          <w:rFonts w:ascii="Times New Roman" w:hAnsi="Times New Roman"/>
          <w:sz w:val="24"/>
          <w:szCs w:val="24"/>
        </w:rPr>
      </w:pPr>
    </w:p>
    <w:p w14:paraId="12AEBC9D" w14:textId="4B06E59A" w:rsidP="00B5060F" w:rsidR="00B5060F" w:rsidRDefault="00B5060F" w:rsidRPr="00B5060F">
      <w:pPr>
        <w:spacing w:line="360" w:lineRule="auto"/>
        <w:rPr>
          <w:rFonts w:ascii="Times New Roman" w:hAnsi="Times New Roman"/>
          <w:sz w:val="30"/>
          <w:szCs w:val="30"/>
        </w:rPr>
      </w:pPr>
      <w:r w:rsidRPr="00B5060F">
        <w:rPr>
          <w:rFonts w:ascii="Times New Roman" w:hAnsi="宋体" w:hint="eastAsia"/>
          <w:b/>
          <w:sz w:val="30"/>
          <w:szCs w:val="30"/>
        </w:rPr>
        <w:t>References</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ZHENG YJ, PANG B, TONG XL, et al.  Thoughts on the theory of the spleen-warm syndrome and obesity. Beijing Journal of Traditional Chinese Medicine,  2017, 36(6): 528–531.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TONG XL.  A review of the understanding and research progress of diabetes in traditional Chinese medicine. Beijing Journal of Traditional Chinese Medicine,  2016, 35(6): 509–512.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HAN M, ZHOU LB, LIU XM.  Research on the name, basic symptoms, etiology and pathogenesis, and prescription rules of the metabolic syndrome in traditional Chinese medicine based on expert interviews. Journal of Traditional Chinese Medicine,  2011, 52(22): 1918–1921.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ZHAO JX, FENG XZ, TONG XL, et al.  Discussions on the core pathogenesis and basic treatment of diabetes in traditional Chinese medicine. Beijing Journal of Traditional Chinese Medicine,  2019, 38(1): 3–6.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TONG XL. New Theory on spleen-warm syndrome – understanding and treating metabolic syndrome from the perspective of traditional Chinese medicine. Beijing: China Press of Traditional Chinese Medicine, 2018.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Standard of care of type 2 diabetes in China (Version 2020) (Volume 2). Chinese Journal of Practical Internal Medicine, 2021, 41(9): 757-784.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LIANG PG.  Compilation of the medical records of lung patients treated by modern medical doctors in Lingnan and research on the syndrome and treatment and clinical observation of lung distention. Guangzhou: Guangzhou University of Chinese Medicine,  2016, 68–98.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SHEN Y, FU P, KONG LY.  Application of data mining algorithms in the research of the prescription rules of famous old traditional Chinese medicine doctors. Journal of Traditional Chinese Medicine,  2016, 57(10): 890–893.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TONG XL.  State-target medicine – the future of traditional Chinese medicine. Chinese Journal of Integrated Traditional and Western Medicine,  2020, 41(1): 16–18.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TONG XL.  Application of prescriptions featuring Huanglian (Coptidis Rhizoma) in the diagnosis and treatment of diabetes. Journal of Traditional Chinese Medicine,  2013, 54(3): 209–211.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PIAO CL, LUO JL, LIU WK.  Application of state-target syndrome differentiation in the treatment of diabetic peripheral neuropathy of the Qi deficiency and collateral stasis type – Huangqi Guizhi Wuwu Tang supplemented with Chuanwu (Aconiti Radix), Jixueteng (Spatholobi Caulis), and Sangzhi (Mori Ramulus). Liaoning Journal of Traditional Chinese Medicine,  2020, 47(2): 4–6.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ZHENG YJ, GOU XW, PANG B, et al.  Discussions on the “Glucose-collateral disease” theory and key points of its diagnosis and treatment. Journal of Traditional Chinese Medicine,  2019, 60(22): 1920–1923.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TONG XL, LIU WK, JIAO YZ.  Discussions on subtle and crude prescriptions. Lishizhen Medicine and Materia Medica Research,  2012, 23(9): 2293–2294.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TONG XL, HE LS, ZHAO LH.  Discussions on the clinical traditional Chinese medicine differentiation and treatment strategy of “State-target causality”. Journal of Traditional Chinese Medicine,  2015, 56(17): 1441–1444.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ZHAO SH, JIN D, AN XD, et al.  Experience on the treatment of diabetic peripheral neuropathy with Huangqi (Astragali Radix), Chuanguizhi (</w:t>
      </w:r>
      <w:r>
        <w:rPr>
          <w:rFonts w:ascii="Times New Roman" w:hAnsi="Times New Roman"/>
          <w:i w:val="true"/>
          <w:color w:val="000000"/>
          <w:sz w:val="24"/>
          <w:szCs w:val="24"/>
        </w:rPr>
        <w:t>Cinnamomum wilsonii</w:t>
      </w:r>
      <w:r>
        <w:rPr>
          <w:rFonts w:ascii="Times New Roman" w:hAnsi="Times New Roman"/>
          <w:color w:val="000000"/>
          <w:sz w:val="24"/>
          <w:szCs w:val="24"/>
        </w:rPr>
        <w:t xml:space="preserve"> Gamble), and Jixueteng (Spatholobi Caulis): extracts from the three-drug small prescriptions of TONG Xiaolin. Jilin Journal of Chinese Medicine,  2020, 40(9): 1131–1133.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ZHOU RR, AN XD, ZHAO SH, et al.  Experience on the treatment of brittle diabetes of the middle Qi deficiency type with Huangqi (Astragali Radix), Chenpi (Pericarpium Citri Reticulatae), and Chaobaizhu (Stir-fried </w:t>
      </w:r>
      <w:r>
        <w:rPr>
          <w:rFonts w:ascii="Times New Roman" w:hAnsi="Times New Roman"/>
          <w:i w:val="true"/>
          <w:color w:val="000000"/>
          <w:sz w:val="24"/>
          <w:szCs w:val="24"/>
        </w:rPr>
        <w:t>Atractylodes macrocephala</w:t>
      </w:r>
      <w:r>
        <w:rPr>
          <w:rFonts w:ascii="Times New Roman" w:hAnsi="Times New Roman"/>
          <w:color w:val="000000"/>
          <w:sz w:val="24"/>
          <w:szCs w:val="24"/>
        </w:rPr>
        <w:t xml:space="preserve"> Koidz) to benefit Qi: extracts from the three-drug small prescriptions of TONG Xiaolin. Jilin Journal of Chinese Medicine,  2020, 40(12): 1541–1543.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CAO YC, REN GQ, HU JL, et al.  Latest research progress on the renal protective mechanism of Astragaloside IV. World Latest Medicine Information,  2017, 17(75): 102.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XU KY, GU CJ.  Treatment of renal edema with Shenghuangqi (AstragaliRadix), Zexie (Alismatis Rhizoma), and Dahuang (Rhei Radix et Rhizoma): extracts from the three-drug small prescriptions of TONG Xiaolin. Jilin Journal of Chinese Medicine,  2020, 40(10): 1276–1278.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YANG BY, YAN MY, PAN J, et al.  Research progress on the chemical constituents and pharmacological effects of Qinpi (Fraxini Cortex). Information on Traditional Chinese Medicine,  2016, 33(6): 116–119.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NIE AZ, LIN ZJ, ZHANG B.  Research progress on the chemical constituents and pharmacological effects of Qinpi (Fraxini Cortex). Chinese Traditional and Herbal Drugs,  2016, 47(18): 3332–3341.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GAO XX, WANG HF, ZHANG H.  Protective effect of Qinjiao (Gentianae Macrophyllae Radix) on rat models of sodium urate gouty arthritis. Pharmacology and Clinics of Chinese Materia Medica,  2015, 31(4): 141–144.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XU F.  Observation on the efficacy of Weilingxian Tongfeng Fang in the treatment of acute gouty arthritis. China Pharmacy,  2011, 22(3): 273–274.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GU CJ, ZHAO XH, LAI XR, et al.  Treatment of Hyperuricemia with Tufuling (</w:t>
      </w:r>
      <w:r>
        <w:rPr>
          <w:rFonts w:ascii="Times New Roman" w:hAnsi="Times New Roman"/>
          <w:i w:val="true"/>
          <w:color w:val="000000"/>
          <w:sz w:val="24"/>
          <w:szCs w:val="24"/>
        </w:rPr>
        <w:t>Smilax glabra</w:t>
      </w:r>
      <w:r>
        <w:rPr>
          <w:rFonts w:ascii="Times New Roman" w:hAnsi="Times New Roman"/>
          <w:color w:val="000000"/>
          <w:sz w:val="24"/>
          <w:szCs w:val="24"/>
        </w:rPr>
        <w:t>), Weilingxian (</w:t>
      </w:r>
      <w:r>
        <w:rPr>
          <w:rFonts w:ascii="Times New Roman" w:hAnsi="Times New Roman"/>
          <w:i w:val="true"/>
          <w:color w:val="000000"/>
          <w:sz w:val="24"/>
          <w:szCs w:val="24"/>
        </w:rPr>
        <w:t>Clematis chinensis</w:t>
      </w:r>
      <w:r>
        <w:rPr>
          <w:rFonts w:ascii="Times New Roman" w:hAnsi="Times New Roman"/>
          <w:color w:val="000000"/>
          <w:sz w:val="24"/>
          <w:szCs w:val="24"/>
        </w:rPr>
        <w:t>), and Bixie (</w:t>
      </w:r>
      <w:r>
        <w:rPr>
          <w:rFonts w:ascii="Times New Roman" w:hAnsi="Times New Roman"/>
          <w:i w:val="true"/>
          <w:color w:val="000000"/>
          <w:sz w:val="24"/>
          <w:szCs w:val="24"/>
        </w:rPr>
        <w:t>Dioscorea septemloba</w:t>
      </w:r>
      <w:r>
        <w:rPr>
          <w:rFonts w:ascii="Times New Roman" w:hAnsi="Times New Roman"/>
          <w:color w:val="000000"/>
          <w:sz w:val="24"/>
          <w:szCs w:val="24"/>
        </w:rPr>
        <w:t xml:space="preserve"> Thunbt): extracts from the three-drug small prescriptions of TONG Xiaolin. Jilin Journal of Chinese Medicine,  2020, 40(12): 1556–1558.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LI XB, KUANG H, LUO YY, et al.  Clinical observation of Berberine Hydrochloride Tablets in intervention of insulin resistance in patients with polycystic ovary syndrome. Journal of Guangzhou University of Traditional Chinese Medicine,  2017, 34(2): 172–177.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DING ML, DONG HL, JIANG GR, et al.  Overview of research on the treatment of type 2 diabetes with the Huangqin (Scutellariae Radix) – Huanglian (Coptidis Rhizoma) pair. China Pharmacy,  2019, 30(17): 2440–2444.    </w:t>
      </w:r>
    </w:p>
    <w:p w14:paraId="26DC5D90" w14:textId="77777777" w:rsidP="005C371A" w:rsidR="002C12B3" w:rsidRDefault="002C12B3" w:rsidRPr="00B5060F">
      <w:pPr>
        <w:autoSpaceDE w:val="0"/>
        <w:autoSpaceDN w:val="0"/>
        <w:adjustRightInd w:val="0"/>
        <w:spacing w:line="360" w:lineRule="auto"/>
        <w:jc w:val="left"/>
        <w:rPr>
          <w:rFonts w:ascii="Times New Roman" w:hAnsi="Times New Roman"/>
          <w:color w:val="000000"/>
          <w:kern w:val="0"/>
          <w:sz w:val="24"/>
          <w:szCs w:val="24"/>
        </w:rPr>
      </w:pPr>
    </w:p>
    <w:sectPr w:rsidR="002C12B3" w:rsidRPr="00B5060F" w:rsidSect="008F060C">
      <w:pgSz w:h="16838" w:w="11906"/>
      <w:pgMar w:bottom="1440" w:footer="992" w:gutter="0" w:header="851" w:left="1800" w:right="1800" w:top="1440"/>
      <w:cols w:space="425"/>
      <w:docGrid w:linePitch="312" w:type="line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5F92A9" w14:textId="77777777" w:rsidR="002A6FE7" w:rsidRDefault="002A6FE7" w:rsidP="00EA1486">
      <w:r>
        <w:separator/>
      </w:r>
    </w:p>
  </w:endnote>
  <w:endnote w:type="continuationSeparator" w:id="0">
    <w:p w14:paraId="3C7D9088" w14:textId="77777777" w:rsidR="002A6FE7" w:rsidRDefault="002A6FE7" w:rsidP="00EA1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footnote w:id="-1" w:type="separator">
    <w:p w14:paraId="534B71F7" w14:textId="77777777" w:rsidP="00EA1486" w:rsidR="002A6FE7" w:rsidRDefault="002A6FE7">
      <w:r>
        <w:separator/>
      </w:r>
    </w:p>
  </w:footnote>
  <w:footnote w:id="0" w:type="continuationSeparator">
    <w:p w14:paraId="49F33D81" w14:textId="77777777" w:rsidP="00EA1486" w:rsidR="002A6FE7" w:rsidRDefault="002A6FE7">
      <w:r>
        <w:continuationSeparator/>
      </w:r>
    </w:p>
  </w:footnote>
</w:footnotes>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abstractNum w15:restartNumberingAfterBreak="0" w:abstractNumId="0">
    <w:nsid w:val="72E75011"/>
    <w:multiLevelType w:val="hybridMultilevel"/>
    <w:tmpl w:val="B6F8FA26"/>
    <w:lvl w:ilvl="0" w:tplc="67B4EFC4">
      <w:start w:val="1"/>
      <w:numFmt w:val="decimal"/>
      <w:lvlText w:val="[%1]"/>
      <w:lvlJc w:val="left"/>
      <w:pPr>
        <w:ind w:hanging="420" w:left="420"/>
      </w:pPr>
      <w:rPr>
        <w:rFonts w:hint="eastAsia"/>
      </w:rPr>
    </w:lvl>
    <w:lvl w:ilvl="1" w:tentative="1" w:tplc="04090019">
      <w:start w:val="1"/>
      <w:numFmt w:val="lowerLetter"/>
      <w:lvlText w:val="%2)"/>
      <w:lvlJc w:val="left"/>
      <w:pPr>
        <w:ind w:hanging="420" w:left="840"/>
      </w:pPr>
    </w:lvl>
    <w:lvl w:ilvl="2" w:tentative="1" w:tplc="0409001B">
      <w:start w:val="1"/>
      <w:numFmt w:val="lowerRoman"/>
      <w:lvlText w:val="%3."/>
      <w:lvlJc w:val="right"/>
      <w:pPr>
        <w:ind w:hanging="420" w:left="1260"/>
      </w:pPr>
    </w:lvl>
    <w:lvl w:ilvl="3" w:tentative="1" w:tplc="0409000F">
      <w:start w:val="1"/>
      <w:numFmt w:val="decimal"/>
      <w:lvlText w:val="%4."/>
      <w:lvlJc w:val="left"/>
      <w:pPr>
        <w:ind w:hanging="420" w:left="1680"/>
      </w:pPr>
    </w:lvl>
    <w:lvl w:ilvl="4" w:tentative="1" w:tplc="04090019">
      <w:start w:val="1"/>
      <w:numFmt w:val="lowerLetter"/>
      <w:lvlText w:val="%5)"/>
      <w:lvlJc w:val="left"/>
      <w:pPr>
        <w:ind w:hanging="420" w:left="2100"/>
      </w:pPr>
    </w:lvl>
    <w:lvl w:ilvl="5" w:tentative="1" w:tplc="0409001B">
      <w:start w:val="1"/>
      <w:numFmt w:val="lowerRoman"/>
      <w:lvlText w:val="%6."/>
      <w:lvlJc w:val="right"/>
      <w:pPr>
        <w:ind w:hanging="420" w:left="2520"/>
      </w:pPr>
    </w:lvl>
    <w:lvl w:ilvl="6" w:tentative="1" w:tplc="0409000F">
      <w:start w:val="1"/>
      <w:numFmt w:val="decimal"/>
      <w:lvlText w:val="%7."/>
      <w:lvlJc w:val="left"/>
      <w:pPr>
        <w:ind w:hanging="420" w:left="2940"/>
      </w:pPr>
    </w:lvl>
    <w:lvl w:ilvl="7" w:tentative="1" w:tplc="04090019">
      <w:start w:val="1"/>
      <w:numFmt w:val="lowerLetter"/>
      <w:lvlText w:val="%8)"/>
      <w:lvlJc w:val="left"/>
      <w:pPr>
        <w:ind w:hanging="420" w:left="3360"/>
      </w:pPr>
    </w:lvl>
    <w:lvl w:ilvl="8" w:tentative="1" w:tplc="0409001B">
      <w:start w:val="1"/>
      <w:numFmt w:val="lowerRoman"/>
      <w:lvlText w:val="%9."/>
      <w:lvlJc w:val="right"/>
      <w:pPr>
        <w:ind w:hanging="420" w:left="3780"/>
      </w:pPr>
    </w:lvl>
  </w:abstractNum>
  <w:num w:numId="1">
    <w:abstractNumId w:val="0"/>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mc:Ignorable="w14 w15 w16se w16cid w16 w16cex">
  <w:zoom w:percent="100"/>
  <w:bordersDoNotSurroundHeader/>
  <w:bordersDoNotSurroundFooter/>
  <w:proofState w:grammar="clean" w:spelling="clean"/>
  <w:defaultTabStop w:val="420"/>
  <w:drawingGridVerticalSpacing w:val="156"/>
  <w:displayHorizontalDrawingGridEvery w:val="0"/>
  <w:displayVerticalDrawingGridEvery w:val="2"/>
  <w:characterSpacingControl w:val="compressPunctuation"/>
  <w:hdrShapeDefaults>
    <o:shapedefaults spidmax="2049" v:ext="edi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aurora:used-aurora" w:val="i:1"/>
  </w:docVars>
  <w:rsids>
    <w:rsidRoot w:val="0053570B"/>
    <w:rsid w:val="000016A6"/>
    <w:rsid w:val="000045E4"/>
    <w:rsid w:val="00013430"/>
    <w:rsid w:val="000137E1"/>
    <w:rsid w:val="00014054"/>
    <w:rsid w:val="00027521"/>
    <w:rsid w:val="00034EF0"/>
    <w:rsid w:val="000478C8"/>
    <w:rsid w:val="00084862"/>
    <w:rsid w:val="000914F5"/>
    <w:rsid w:val="00093B3E"/>
    <w:rsid w:val="000960D8"/>
    <w:rsid w:val="000A3BD8"/>
    <w:rsid w:val="000D4C02"/>
    <w:rsid w:val="000E10F8"/>
    <w:rsid w:val="000E2E77"/>
    <w:rsid w:val="000F5F9B"/>
    <w:rsid w:val="00100EF1"/>
    <w:rsid w:val="00101806"/>
    <w:rsid w:val="001136F1"/>
    <w:rsid w:val="00114E70"/>
    <w:rsid w:val="001256C2"/>
    <w:rsid w:val="00130900"/>
    <w:rsid w:val="00135FCC"/>
    <w:rsid w:val="00136391"/>
    <w:rsid w:val="001516C9"/>
    <w:rsid w:val="00156DB6"/>
    <w:rsid w:val="00181FB4"/>
    <w:rsid w:val="0018715B"/>
    <w:rsid w:val="001A19F4"/>
    <w:rsid w:val="001A1E52"/>
    <w:rsid w:val="001A5A0E"/>
    <w:rsid w:val="001A791D"/>
    <w:rsid w:val="001B0B8C"/>
    <w:rsid w:val="001C25F9"/>
    <w:rsid w:val="001C3EF3"/>
    <w:rsid w:val="001C7B7E"/>
    <w:rsid w:val="001D1F8D"/>
    <w:rsid w:val="001D4C53"/>
    <w:rsid w:val="001D675B"/>
    <w:rsid w:val="001D7235"/>
    <w:rsid w:val="001E105E"/>
    <w:rsid w:val="001E4492"/>
    <w:rsid w:val="001F0CB6"/>
    <w:rsid w:val="0020412F"/>
    <w:rsid w:val="00206C27"/>
    <w:rsid w:val="00210BC9"/>
    <w:rsid w:val="00212D85"/>
    <w:rsid w:val="00231249"/>
    <w:rsid w:val="002324FE"/>
    <w:rsid w:val="00232F4C"/>
    <w:rsid w:val="002500D0"/>
    <w:rsid w:val="0025644B"/>
    <w:rsid w:val="002605A9"/>
    <w:rsid w:val="002630F8"/>
    <w:rsid w:val="00264A38"/>
    <w:rsid w:val="00293945"/>
    <w:rsid w:val="00297CB4"/>
    <w:rsid w:val="002A258D"/>
    <w:rsid w:val="002A6FE7"/>
    <w:rsid w:val="002A70C2"/>
    <w:rsid w:val="002B25D2"/>
    <w:rsid w:val="002B29DB"/>
    <w:rsid w:val="002C0F41"/>
    <w:rsid w:val="002C12B3"/>
    <w:rsid w:val="002C1819"/>
    <w:rsid w:val="002C4D05"/>
    <w:rsid w:val="002D7784"/>
    <w:rsid w:val="002E4BCD"/>
    <w:rsid w:val="002F1EBB"/>
    <w:rsid w:val="002F3967"/>
    <w:rsid w:val="002F6B73"/>
    <w:rsid w:val="00301F95"/>
    <w:rsid w:val="00305C29"/>
    <w:rsid w:val="00306EE2"/>
    <w:rsid w:val="00310294"/>
    <w:rsid w:val="0031356C"/>
    <w:rsid w:val="00332F7B"/>
    <w:rsid w:val="00337895"/>
    <w:rsid w:val="00355BC6"/>
    <w:rsid w:val="00371B5E"/>
    <w:rsid w:val="003779E6"/>
    <w:rsid w:val="003C696D"/>
    <w:rsid w:val="003E1E0C"/>
    <w:rsid w:val="003E5AF3"/>
    <w:rsid w:val="003F0A26"/>
    <w:rsid w:val="003F3ACC"/>
    <w:rsid w:val="003F6645"/>
    <w:rsid w:val="0040318F"/>
    <w:rsid w:val="00410687"/>
    <w:rsid w:val="0042409C"/>
    <w:rsid w:val="0042592E"/>
    <w:rsid w:val="004277B1"/>
    <w:rsid w:val="004307CC"/>
    <w:rsid w:val="00432EEB"/>
    <w:rsid w:val="004378B0"/>
    <w:rsid w:val="00456537"/>
    <w:rsid w:val="00456D16"/>
    <w:rsid w:val="00463B32"/>
    <w:rsid w:val="00464B65"/>
    <w:rsid w:val="0046750E"/>
    <w:rsid w:val="00477AEE"/>
    <w:rsid w:val="00482362"/>
    <w:rsid w:val="004903C9"/>
    <w:rsid w:val="00496C93"/>
    <w:rsid w:val="004A5725"/>
    <w:rsid w:val="004A7329"/>
    <w:rsid w:val="004C5618"/>
    <w:rsid w:val="004C7569"/>
    <w:rsid w:val="004D0E63"/>
    <w:rsid w:val="004D1FE7"/>
    <w:rsid w:val="004D29AC"/>
    <w:rsid w:val="004D62EB"/>
    <w:rsid w:val="004E17ED"/>
    <w:rsid w:val="004E65F1"/>
    <w:rsid w:val="004F6580"/>
    <w:rsid w:val="005012A1"/>
    <w:rsid w:val="00511E95"/>
    <w:rsid w:val="00520A8C"/>
    <w:rsid w:val="005319D9"/>
    <w:rsid w:val="0053570B"/>
    <w:rsid w:val="00535A7B"/>
    <w:rsid w:val="00554E3C"/>
    <w:rsid w:val="00556D38"/>
    <w:rsid w:val="005620D6"/>
    <w:rsid w:val="00563EB8"/>
    <w:rsid w:val="005748F4"/>
    <w:rsid w:val="00575C01"/>
    <w:rsid w:val="00580D0E"/>
    <w:rsid w:val="005B3B61"/>
    <w:rsid w:val="005C0043"/>
    <w:rsid w:val="005C0ED3"/>
    <w:rsid w:val="005C2A2B"/>
    <w:rsid w:val="005C371A"/>
    <w:rsid w:val="005D71D7"/>
    <w:rsid w:val="005F1228"/>
    <w:rsid w:val="005F6C00"/>
    <w:rsid w:val="005F7722"/>
    <w:rsid w:val="00627D80"/>
    <w:rsid w:val="00634D21"/>
    <w:rsid w:val="006460D2"/>
    <w:rsid w:val="0065237D"/>
    <w:rsid w:val="00652A46"/>
    <w:rsid w:val="00674201"/>
    <w:rsid w:val="00677977"/>
    <w:rsid w:val="006814A3"/>
    <w:rsid w:val="00691281"/>
    <w:rsid w:val="00696D83"/>
    <w:rsid w:val="00697D65"/>
    <w:rsid w:val="006A14EB"/>
    <w:rsid w:val="006A5E40"/>
    <w:rsid w:val="006A64B5"/>
    <w:rsid w:val="006A6915"/>
    <w:rsid w:val="006B1229"/>
    <w:rsid w:val="006D4BF4"/>
    <w:rsid w:val="006D541E"/>
    <w:rsid w:val="006D699E"/>
    <w:rsid w:val="006E3C3B"/>
    <w:rsid w:val="006F097A"/>
    <w:rsid w:val="006F6A77"/>
    <w:rsid w:val="00704F21"/>
    <w:rsid w:val="00706802"/>
    <w:rsid w:val="00713A9B"/>
    <w:rsid w:val="007255FC"/>
    <w:rsid w:val="00737231"/>
    <w:rsid w:val="007431AE"/>
    <w:rsid w:val="007628C4"/>
    <w:rsid w:val="00764643"/>
    <w:rsid w:val="007665E6"/>
    <w:rsid w:val="00783AAA"/>
    <w:rsid w:val="00796D1B"/>
    <w:rsid w:val="00796EB1"/>
    <w:rsid w:val="007A33CA"/>
    <w:rsid w:val="007A7196"/>
    <w:rsid w:val="007C09EC"/>
    <w:rsid w:val="007C2AAC"/>
    <w:rsid w:val="007C2BAF"/>
    <w:rsid w:val="007D77F0"/>
    <w:rsid w:val="007E2948"/>
    <w:rsid w:val="007E6481"/>
    <w:rsid w:val="007F207E"/>
    <w:rsid w:val="007F5521"/>
    <w:rsid w:val="00802EED"/>
    <w:rsid w:val="00813561"/>
    <w:rsid w:val="00815C29"/>
    <w:rsid w:val="00822A74"/>
    <w:rsid w:val="008343A3"/>
    <w:rsid w:val="008421F8"/>
    <w:rsid w:val="00846326"/>
    <w:rsid w:val="00851544"/>
    <w:rsid w:val="00853581"/>
    <w:rsid w:val="0086569B"/>
    <w:rsid w:val="00873E3B"/>
    <w:rsid w:val="00880C2D"/>
    <w:rsid w:val="008A3211"/>
    <w:rsid w:val="008A3D26"/>
    <w:rsid w:val="008A4549"/>
    <w:rsid w:val="008A601E"/>
    <w:rsid w:val="008B00EA"/>
    <w:rsid w:val="008B4B96"/>
    <w:rsid w:val="008B5936"/>
    <w:rsid w:val="008E2D7D"/>
    <w:rsid w:val="008F060C"/>
    <w:rsid w:val="008F6F80"/>
    <w:rsid w:val="0090540F"/>
    <w:rsid w:val="00907B50"/>
    <w:rsid w:val="009133B2"/>
    <w:rsid w:val="00915B6E"/>
    <w:rsid w:val="00916E48"/>
    <w:rsid w:val="0092236D"/>
    <w:rsid w:val="009230B8"/>
    <w:rsid w:val="00923CF2"/>
    <w:rsid w:val="00923D8A"/>
    <w:rsid w:val="0092710D"/>
    <w:rsid w:val="00932738"/>
    <w:rsid w:val="0093285E"/>
    <w:rsid w:val="00947720"/>
    <w:rsid w:val="00952A11"/>
    <w:rsid w:val="00961143"/>
    <w:rsid w:val="009676E0"/>
    <w:rsid w:val="00996DC3"/>
    <w:rsid w:val="00997023"/>
    <w:rsid w:val="009A0E14"/>
    <w:rsid w:val="009A1D81"/>
    <w:rsid w:val="009B1796"/>
    <w:rsid w:val="009B1B6F"/>
    <w:rsid w:val="009B6768"/>
    <w:rsid w:val="009C5614"/>
    <w:rsid w:val="009C6504"/>
    <w:rsid w:val="009C6D1A"/>
    <w:rsid w:val="009D0800"/>
    <w:rsid w:val="009E3DEA"/>
    <w:rsid w:val="009E5D11"/>
    <w:rsid w:val="00A077F8"/>
    <w:rsid w:val="00A31BB0"/>
    <w:rsid w:val="00A323A0"/>
    <w:rsid w:val="00A40E5C"/>
    <w:rsid w:val="00A42D69"/>
    <w:rsid w:val="00A471F3"/>
    <w:rsid w:val="00A50F31"/>
    <w:rsid w:val="00A556A3"/>
    <w:rsid w:val="00A57A9F"/>
    <w:rsid w:val="00A57AA8"/>
    <w:rsid w:val="00A70551"/>
    <w:rsid w:val="00A7587E"/>
    <w:rsid w:val="00A8045F"/>
    <w:rsid w:val="00AA655E"/>
    <w:rsid w:val="00AB4D30"/>
    <w:rsid w:val="00AB6467"/>
    <w:rsid w:val="00AC3D34"/>
    <w:rsid w:val="00AD0080"/>
    <w:rsid w:val="00AE1419"/>
    <w:rsid w:val="00AF3F2A"/>
    <w:rsid w:val="00AF448C"/>
    <w:rsid w:val="00B11A39"/>
    <w:rsid w:val="00B17A6E"/>
    <w:rsid w:val="00B45F8C"/>
    <w:rsid w:val="00B5060F"/>
    <w:rsid w:val="00B706CF"/>
    <w:rsid w:val="00B74CDE"/>
    <w:rsid w:val="00B84F3E"/>
    <w:rsid w:val="00B87651"/>
    <w:rsid w:val="00B916B0"/>
    <w:rsid w:val="00BA1135"/>
    <w:rsid w:val="00BA5310"/>
    <w:rsid w:val="00BB0703"/>
    <w:rsid w:val="00BB3994"/>
    <w:rsid w:val="00BB4ABE"/>
    <w:rsid w:val="00BC1B18"/>
    <w:rsid w:val="00BC3FE8"/>
    <w:rsid w:val="00BE05FE"/>
    <w:rsid w:val="00BE12C2"/>
    <w:rsid w:val="00BE3EC2"/>
    <w:rsid w:val="00BE7F81"/>
    <w:rsid w:val="00BF099C"/>
    <w:rsid w:val="00BF0E51"/>
    <w:rsid w:val="00BF4207"/>
    <w:rsid w:val="00C030CA"/>
    <w:rsid w:val="00C126D0"/>
    <w:rsid w:val="00C12F6C"/>
    <w:rsid w:val="00C15EB7"/>
    <w:rsid w:val="00C24D88"/>
    <w:rsid w:val="00C25176"/>
    <w:rsid w:val="00C273DF"/>
    <w:rsid w:val="00C3609D"/>
    <w:rsid w:val="00C45D43"/>
    <w:rsid w:val="00C546F0"/>
    <w:rsid w:val="00C72B10"/>
    <w:rsid w:val="00C73864"/>
    <w:rsid w:val="00C935A2"/>
    <w:rsid w:val="00C9564D"/>
    <w:rsid w:val="00CA2776"/>
    <w:rsid w:val="00CA6EA9"/>
    <w:rsid w:val="00CB5358"/>
    <w:rsid w:val="00CB5543"/>
    <w:rsid w:val="00CD1134"/>
    <w:rsid w:val="00CE042C"/>
    <w:rsid w:val="00CE0F68"/>
    <w:rsid w:val="00CF7354"/>
    <w:rsid w:val="00D130CD"/>
    <w:rsid w:val="00D15CF5"/>
    <w:rsid w:val="00D20DC7"/>
    <w:rsid w:val="00D239C0"/>
    <w:rsid w:val="00D258A6"/>
    <w:rsid w:val="00D329B7"/>
    <w:rsid w:val="00D41906"/>
    <w:rsid w:val="00D4196F"/>
    <w:rsid w:val="00D45461"/>
    <w:rsid w:val="00D56E9E"/>
    <w:rsid w:val="00D60E86"/>
    <w:rsid w:val="00D64A22"/>
    <w:rsid w:val="00D70FEF"/>
    <w:rsid w:val="00D930C4"/>
    <w:rsid w:val="00DA03C8"/>
    <w:rsid w:val="00DB059D"/>
    <w:rsid w:val="00DB3F11"/>
    <w:rsid w:val="00DB6769"/>
    <w:rsid w:val="00DB7920"/>
    <w:rsid w:val="00DC0F24"/>
    <w:rsid w:val="00DC703B"/>
    <w:rsid w:val="00DD3B47"/>
    <w:rsid w:val="00DE0A98"/>
    <w:rsid w:val="00DE4AB1"/>
    <w:rsid w:val="00DF75F7"/>
    <w:rsid w:val="00E02BCB"/>
    <w:rsid w:val="00E124A2"/>
    <w:rsid w:val="00E23C39"/>
    <w:rsid w:val="00E2401A"/>
    <w:rsid w:val="00E27DBD"/>
    <w:rsid w:val="00E3596C"/>
    <w:rsid w:val="00E415C2"/>
    <w:rsid w:val="00E559E8"/>
    <w:rsid w:val="00E66C3B"/>
    <w:rsid w:val="00E70179"/>
    <w:rsid w:val="00E71673"/>
    <w:rsid w:val="00E7350D"/>
    <w:rsid w:val="00E73B83"/>
    <w:rsid w:val="00E752EF"/>
    <w:rsid w:val="00E7542C"/>
    <w:rsid w:val="00E927BD"/>
    <w:rsid w:val="00E97DE7"/>
    <w:rsid w:val="00EA03E3"/>
    <w:rsid w:val="00EA1486"/>
    <w:rsid w:val="00EB198E"/>
    <w:rsid w:val="00EB3006"/>
    <w:rsid w:val="00EB4777"/>
    <w:rsid w:val="00EC3258"/>
    <w:rsid w:val="00EC616F"/>
    <w:rsid w:val="00EE0B90"/>
    <w:rsid w:val="00F01E6D"/>
    <w:rsid w:val="00F11638"/>
    <w:rsid w:val="00F13E7B"/>
    <w:rsid w:val="00F24AD4"/>
    <w:rsid w:val="00F25175"/>
    <w:rsid w:val="00F428EA"/>
    <w:rsid w:val="00F438FF"/>
    <w:rsid w:val="00F47C32"/>
    <w:rsid w:val="00F5235C"/>
    <w:rsid w:val="00F6507C"/>
    <w:rsid w:val="00F653E7"/>
    <w:rsid w:val="00F726FF"/>
    <w:rsid w:val="00F73EB3"/>
    <w:rsid w:val="00F96146"/>
    <w:rsid w:val="00F972B1"/>
    <w:rsid w:val="00FA3D32"/>
    <w:rsid w:val="00FA459F"/>
    <w:rsid w:val="00FA48D7"/>
    <w:rsid w:val="00FB0A40"/>
    <w:rsid w:val="00FB1B3A"/>
    <w:rsid w:val="00FD1B3B"/>
    <w:rsid w:val="00FE0CBE"/>
    <w:rsid w:val="00FE225A"/>
    <w:rsid w:val="00FE37AE"/>
    <w:rsid w:val="00FE4FE7"/>
  </w:rsids>
  <m:mathPr>
    <m:mathFont m:val="Cambria Math"/>
    <m:brkBin m:val="before"/>
    <m:brkBinSub m:val="--"/>
    <m:smallFrac m:val="0"/>
    <m:dispDef/>
    <m:lMargin m:val="0"/>
    <m:rMargin m:val="0"/>
    <m:defJc m:val="centerGroup"/>
    <m:wrapIndent m:val="1440"/>
    <m:intLim m:val="subSup"/>
    <m:naryLim m:val="undOvr"/>
  </m:mathPr>
  <w:themeFontLang w:eastAsia="zh-CN"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87D827E"/>
  <w15:docId w15:val="{16CEBD41-E577-4A29-B707-DC208F136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mc:Ignorable="w14 w15 w16se w16cid w16 w16cex">
  <w:docDefaults>
    <w:rPrDefault>
      <w:rPr>
        <w:rFonts w:ascii="Calibri" w:cs="Times New Roman" w:eastAsia="宋体" w:hAnsi="Calibri"/>
        <w:lang w:bidi="ar-SA" w:eastAsia="zh-CN" w:val="en-US"/>
      </w:rPr>
    </w:rPrDefault>
    <w:pPrDefault/>
  </w:docDefaults>
  <w:latentStyles w:count="376"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default="1" w:styleId="a" w:type="paragraph">
    <w:name w:val="Normal"/>
    <w:qFormat/>
    <w:rsid w:val="00575C01"/>
    <w:pPr>
      <w:widowControl w:val="0"/>
      <w:jc w:val="both"/>
    </w:pPr>
    <w:rPr>
      <w:kern w:val="2"/>
      <w:sz w:val="21"/>
      <w:szCs w:val="22"/>
    </w:rPr>
  </w:style>
  <w:style w:styleId="2" w:type="paragraph">
    <w:name w:val="heading 2"/>
    <w:basedOn w:val="a"/>
    <w:next w:val="a"/>
    <w:link w:val="20"/>
    <w:uiPriority w:val="9"/>
    <w:unhideWhenUsed/>
    <w:qFormat/>
    <w:rsid w:val="00B87651"/>
    <w:pPr>
      <w:keepNext/>
      <w:keepLines/>
      <w:spacing w:after="260" w:before="260" w:line="416" w:lineRule="auto"/>
      <w:outlineLvl w:val="1"/>
    </w:pPr>
    <w:rPr>
      <w:rFonts w:asciiTheme="majorHAnsi" w:cstheme="majorBidi" w:eastAsiaTheme="majorEastAsia" w:hAnsiTheme="majorHAnsi"/>
      <w:b/>
      <w:bCs/>
      <w:sz w:val="32"/>
      <w:szCs w:val="32"/>
    </w:rPr>
  </w:style>
  <w:style w:default="1" w:styleId="a0" w:type="character">
    <w:name w:val="Default Paragraph Font"/>
    <w:uiPriority w:val="1"/>
    <w:semiHidden/>
    <w:unhideWhenUsed/>
  </w:style>
  <w:style w:default="1" w:styleId="a1" w:type="table">
    <w:name w:val="Normal Table"/>
    <w:uiPriority w:val="99"/>
    <w:semiHidden/>
    <w:unhideWhenUsed/>
    <w:tblPr>
      <w:tblInd w:type="dxa" w:w="0"/>
      <w:tblCellMar>
        <w:top w:type="dxa" w:w="0"/>
        <w:left w:type="dxa" w:w="108"/>
        <w:bottom w:type="dxa" w:w="0"/>
        <w:right w:type="dxa" w:w="108"/>
      </w:tblCellMar>
    </w:tblPr>
  </w:style>
  <w:style w:default="1" w:styleId="a2" w:type="numbering">
    <w:name w:val="No List"/>
    <w:uiPriority w:val="99"/>
    <w:semiHidden/>
    <w:unhideWhenUsed/>
  </w:style>
  <w:style w:styleId="a3" w:type="paragraph">
    <w:name w:val="Balloon Text"/>
    <w:basedOn w:val="a"/>
    <w:link w:val="a4"/>
    <w:uiPriority w:val="99"/>
    <w:semiHidden/>
    <w:unhideWhenUsed/>
    <w:rsid w:val="0053570B"/>
    <w:rPr>
      <w:kern w:val="0"/>
      <w:sz w:val="18"/>
      <w:szCs w:val="18"/>
    </w:rPr>
  </w:style>
  <w:style w:customStyle="1" w:styleId="a4" w:type="character">
    <w:name w:val="批注框文本 字符"/>
    <w:link w:val="a3"/>
    <w:uiPriority w:val="99"/>
    <w:semiHidden/>
    <w:rsid w:val="0053570B"/>
    <w:rPr>
      <w:sz w:val="18"/>
      <w:szCs w:val="18"/>
    </w:rPr>
  </w:style>
  <w:style w:styleId="a5" w:type="paragraph">
    <w:name w:val="header"/>
    <w:basedOn w:val="a"/>
    <w:link w:val="a6"/>
    <w:uiPriority w:val="99"/>
    <w:unhideWhenUsed/>
    <w:rsid w:val="00EA1486"/>
    <w:pPr>
      <w:pBdr>
        <w:bottom w:color="auto" w:space="1" w:sz="6" w:val="single"/>
      </w:pBdr>
      <w:tabs>
        <w:tab w:pos="4153" w:val="center"/>
        <w:tab w:pos="8306" w:val="right"/>
      </w:tabs>
      <w:snapToGrid w:val="0"/>
      <w:jc w:val="center"/>
    </w:pPr>
    <w:rPr>
      <w:sz w:val="18"/>
      <w:szCs w:val="18"/>
    </w:rPr>
  </w:style>
  <w:style w:customStyle="1" w:styleId="a6" w:type="character">
    <w:name w:val="页眉 字符"/>
    <w:link w:val="a5"/>
    <w:uiPriority w:val="99"/>
    <w:rsid w:val="00EA1486"/>
    <w:rPr>
      <w:kern w:val="2"/>
      <w:sz w:val="18"/>
      <w:szCs w:val="18"/>
    </w:rPr>
  </w:style>
  <w:style w:styleId="a7" w:type="paragraph">
    <w:name w:val="footer"/>
    <w:basedOn w:val="a"/>
    <w:link w:val="a8"/>
    <w:uiPriority w:val="99"/>
    <w:unhideWhenUsed/>
    <w:rsid w:val="00EA1486"/>
    <w:pPr>
      <w:tabs>
        <w:tab w:pos="4153" w:val="center"/>
        <w:tab w:pos="8306" w:val="right"/>
      </w:tabs>
      <w:snapToGrid w:val="0"/>
      <w:jc w:val="left"/>
    </w:pPr>
    <w:rPr>
      <w:sz w:val="18"/>
      <w:szCs w:val="18"/>
    </w:rPr>
  </w:style>
  <w:style w:customStyle="1" w:styleId="a8" w:type="character">
    <w:name w:val="页脚 字符"/>
    <w:link w:val="a7"/>
    <w:uiPriority w:val="99"/>
    <w:rsid w:val="00EA1486"/>
    <w:rPr>
      <w:kern w:val="2"/>
      <w:sz w:val="18"/>
      <w:szCs w:val="18"/>
    </w:rPr>
  </w:style>
  <w:style w:styleId="a9" w:type="character">
    <w:name w:val="Hyperlink"/>
    <w:uiPriority w:val="99"/>
    <w:semiHidden/>
    <w:unhideWhenUsed/>
    <w:rsid w:val="00EA1486"/>
    <w:rPr>
      <w:color w:val="0000CC"/>
      <w:u w:val="single"/>
    </w:rPr>
  </w:style>
  <w:style w:styleId="aa" w:type="paragraph">
    <w:name w:val="Document Map"/>
    <w:basedOn w:val="a"/>
    <w:link w:val="ab"/>
    <w:uiPriority w:val="99"/>
    <w:semiHidden/>
    <w:unhideWhenUsed/>
    <w:rsid w:val="00696D83"/>
    <w:rPr>
      <w:rFonts w:ascii="宋体"/>
      <w:sz w:val="18"/>
      <w:szCs w:val="18"/>
    </w:rPr>
  </w:style>
  <w:style w:customStyle="1" w:styleId="ab" w:type="character">
    <w:name w:val="文档结构图 字符"/>
    <w:basedOn w:val="a0"/>
    <w:link w:val="aa"/>
    <w:uiPriority w:val="99"/>
    <w:semiHidden/>
    <w:rsid w:val="00696D83"/>
    <w:rPr>
      <w:rFonts w:ascii="宋体"/>
      <w:kern w:val="2"/>
      <w:sz w:val="18"/>
      <w:szCs w:val="18"/>
    </w:rPr>
  </w:style>
  <w:style w:styleId="ac" w:type="table">
    <w:name w:val="Table Grid"/>
    <w:basedOn w:val="a1"/>
    <w:uiPriority w:val="59"/>
    <w:rsid w:val="004307CC"/>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DecimalAligned" w:type="paragraph">
    <w:name w:val="Decimal Aligned"/>
    <w:basedOn w:val="a"/>
    <w:uiPriority w:val="40"/>
    <w:qFormat/>
    <w:rsid w:val="00114E70"/>
    <w:pPr>
      <w:widowControl/>
      <w:tabs>
        <w:tab w:pos="360" w:val="decimal"/>
      </w:tabs>
      <w:spacing w:after="200" w:line="276" w:lineRule="auto"/>
      <w:jc w:val="left"/>
    </w:pPr>
    <w:rPr>
      <w:rFonts w:asciiTheme="minorHAnsi" w:cstheme="minorBidi" w:eastAsiaTheme="minorEastAsia" w:hAnsiTheme="minorHAnsi"/>
      <w:kern w:val="0"/>
      <w:sz w:val="22"/>
    </w:rPr>
  </w:style>
  <w:style w:styleId="ad" w:type="paragraph">
    <w:name w:val="footnote text"/>
    <w:basedOn w:val="a"/>
    <w:link w:val="ae"/>
    <w:uiPriority w:val="99"/>
    <w:unhideWhenUsed/>
    <w:rsid w:val="00114E70"/>
    <w:pPr>
      <w:widowControl/>
      <w:jc w:val="left"/>
    </w:pPr>
    <w:rPr>
      <w:rFonts w:asciiTheme="minorHAnsi" w:cstheme="minorBidi" w:eastAsiaTheme="minorEastAsia" w:hAnsiTheme="minorHAnsi"/>
      <w:kern w:val="0"/>
      <w:sz w:val="20"/>
      <w:szCs w:val="20"/>
    </w:rPr>
  </w:style>
  <w:style w:customStyle="1" w:styleId="ae" w:type="character">
    <w:name w:val="脚注文本 字符"/>
    <w:basedOn w:val="a0"/>
    <w:link w:val="ad"/>
    <w:uiPriority w:val="99"/>
    <w:rsid w:val="00114E70"/>
    <w:rPr>
      <w:rFonts w:asciiTheme="minorHAnsi" w:cstheme="minorBidi" w:eastAsiaTheme="minorEastAsia" w:hAnsiTheme="minorHAnsi"/>
    </w:rPr>
  </w:style>
  <w:style w:styleId="af" w:type="character">
    <w:name w:val="Subtle Emphasis"/>
    <w:basedOn w:val="a0"/>
    <w:uiPriority w:val="19"/>
    <w:qFormat/>
    <w:rsid w:val="00114E70"/>
    <w:rPr>
      <w:rFonts w:cstheme="minorBidi" w:eastAsiaTheme="minorEastAsia"/>
      <w:bCs w:val="0"/>
      <w:i/>
      <w:iCs/>
      <w:color w:themeColor="text1" w:themeTint="7F" w:val="808080"/>
      <w:szCs w:val="22"/>
      <w:lang w:eastAsia="zh-CN"/>
    </w:rPr>
  </w:style>
  <w:style w:styleId="-1" w:type="table">
    <w:name w:val="Light Shading Accent 1"/>
    <w:basedOn w:val="a1"/>
    <w:uiPriority w:val="60"/>
    <w:rsid w:val="00114E70"/>
    <w:rPr>
      <w:rFonts w:asciiTheme="minorHAnsi" w:cstheme="minorBidi" w:eastAsiaTheme="minorEastAsia" w:hAnsiTheme="minorHAnsi"/>
      <w:color w:themeColor="accent1" w:themeShade="BF" w:val="365F91"/>
      <w:sz w:val="22"/>
      <w:szCs w:val="22"/>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customStyle="1" w:styleId="1" w:type="table">
    <w:name w:val="日历 1"/>
    <w:basedOn w:val="a1"/>
    <w:uiPriority w:val="99"/>
    <w:qFormat/>
    <w:rsid w:val="006A6915"/>
    <w:rPr>
      <w:rFonts w:asciiTheme="minorHAnsi" w:cstheme="minorBidi" w:eastAsiaTheme="minorEastAsia" w:hAnsiTheme="minorHAnsi"/>
      <w:sz w:val="22"/>
      <w:szCs w:val="22"/>
    </w:rPr>
    <w:tblPr>
      <w:tblStyleRowBandSize w:val="1"/>
      <w:tblStyleColBandSize w:val="1"/>
    </w:tblPr>
    <w:tcPr>
      <w:shd w:color="auto" w:fill="auto" w:val="clear"/>
    </w:tcPr>
    <w:tblStylePr w:type="firstRow">
      <w:pPr>
        <w:wordWrap/>
        <w:spacing w:afterAutospacing="0" w:afterLines="0" w:beforeAutospacing="0" w:beforeLines="0" w:line="240" w:lineRule="auto"/>
      </w:pPr>
      <w:rPr>
        <w:rFonts w:asciiTheme="minorHAnsi" w:eastAsiaTheme="minorEastAsia"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color="auto" w:fill="auto" w:val="clear"/>
      </w:tcPr>
    </w:tblStylePr>
    <w:tblStylePr w:type="band1Horz">
      <w:tblPr/>
      <w:tcPr>
        <w:tcBorders>
          <w:top w:val="nil"/>
          <w:left w:val="nil"/>
          <w:bottom w:val="nil"/>
          <w:right w:val="nil"/>
          <w:insideH w:val="nil"/>
          <w:insideV w:val="nil"/>
          <w:tl2br w:val="nil"/>
          <w:tr2bl w:val="nil"/>
        </w:tcBorders>
        <w:shd w:color="auto" w:fill="auto" w:val="clear"/>
      </w:tcPr>
    </w:tblStylePr>
    <w:tblStylePr w:type="band2Horz">
      <w:tblPr/>
      <w:tcPr>
        <w:tcBorders>
          <w:top w:color="000000" w:space="0" w:sz="24" w:themeColor="text1" w:val="single"/>
          <w:left w:val="nil"/>
          <w:bottom w:color="000000" w:space="0" w:sz="24" w:themeColor="text1" w:val="single"/>
          <w:right w:val="nil"/>
          <w:insideH w:val="nil"/>
          <w:insideV w:val="nil"/>
          <w:tl2br w:val="nil"/>
          <w:tr2bl w:val="nil"/>
        </w:tcBorders>
        <w:shd w:color="auto" w:fill="auto" w:val="clear"/>
      </w:tcPr>
    </w:tblStylePr>
  </w:style>
  <w:style w:styleId="af0" w:type="paragraph">
    <w:name w:val="List Paragraph"/>
    <w:basedOn w:val="a"/>
    <w:uiPriority w:val="34"/>
    <w:qFormat/>
    <w:rsid w:val="00463B32"/>
    <w:pPr>
      <w:ind w:firstLine="420" w:firstLineChars="200"/>
    </w:pPr>
  </w:style>
  <w:style w:customStyle="1" w:styleId="20" w:type="character">
    <w:name w:val="标题 2 字符"/>
    <w:basedOn w:val="a0"/>
    <w:link w:val="2"/>
    <w:uiPriority w:val="9"/>
    <w:rsid w:val="00B87651"/>
    <w:rPr>
      <w:rFonts w:asciiTheme="majorHAnsi" w:cstheme="majorBidi" w:eastAsiaTheme="majorEastAsia" w:hAnsiTheme="majorHAnsi"/>
      <w:b/>
      <w:bCs/>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2042401">
      <w:bodyDiv w:val="1"/>
      <w:marLeft w:val="0"/>
      <w:marRight w:val="0"/>
      <w:marTop w:val="0"/>
      <w:marBottom w:val="0"/>
      <w:divBdr>
        <w:top w:val="none" w:sz="0" w:space="0" w:color="auto"/>
        <w:left w:val="none" w:sz="0" w:space="0" w:color="auto"/>
        <w:bottom w:val="none" w:sz="0" w:space="0" w:color="auto"/>
        <w:right w:val="none" w:sz="0" w:space="0" w:color="auto"/>
      </w:divBdr>
      <w:divsChild>
        <w:div w:id="395976647">
          <w:marLeft w:val="0"/>
          <w:marRight w:val="0"/>
          <w:marTop w:val="0"/>
          <w:marBottom w:val="0"/>
          <w:divBdr>
            <w:top w:val="none" w:sz="0" w:space="0" w:color="auto"/>
            <w:left w:val="none" w:sz="0" w:space="0" w:color="auto"/>
            <w:bottom w:val="none" w:sz="0" w:space="0" w:color="auto"/>
            <w:right w:val="none" w:sz="0" w:space="0" w:color="auto"/>
          </w:divBdr>
          <w:divsChild>
            <w:div w:id="523134133">
              <w:marLeft w:val="0"/>
              <w:marRight w:val="0"/>
              <w:marTop w:val="0"/>
              <w:marBottom w:val="0"/>
              <w:divBdr>
                <w:top w:val="none" w:sz="0" w:space="0" w:color="auto"/>
                <w:left w:val="none" w:sz="0" w:space="0" w:color="auto"/>
                <w:bottom w:val="none" w:sz="0" w:space="0" w:color="auto"/>
                <w:right w:val="none" w:sz="0" w:space="0" w:color="auto"/>
              </w:divBdr>
              <w:divsChild>
                <w:div w:id="918566273">
                  <w:marLeft w:val="0"/>
                  <w:marRight w:val="0"/>
                  <w:marTop w:val="0"/>
                  <w:marBottom w:val="0"/>
                  <w:divBdr>
                    <w:top w:val="none" w:sz="0" w:space="0" w:color="auto"/>
                    <w:left w:val="none" w:sz="0" w:space="0" w:color="auto"/>
                    <w:bottom w:val="none" w:sz="0" w:space="0" w:color="auto"/>
                    <w:right w:val="none" w:sz="0" w:space="0" w:color="auto"/>
                  </w:divBdr>
                  <w:divsChild>
                    <w:div w:id="27073102">
                      <w:marLeft w:val="0"/>
                      <w:marRight w:val="0"/>
                      <w:marTop w:val="0"/>
                      <w:marBottom w:val="0"/>
                      <w:divBdr>
                        <w:top w:val="none" w:sz="0" w:space="0" w:color="auto"/>
                        <w:left w:val="none" w:sz="0" w:space="0" w:color="auto"/>
                        <w:bottom w:val="none" w:sz="0" w:space="0" w:color="auto"/>
                        <w:right w:val="none" w:sz="0" w:space="0" w:color="auto"/>
                      </w:divBdr>
                      <w:divsChild>
                        <w:div w:id="558637358">
                          <w:marLeft w:val="0"/>
                          <w:marRight w:val="0"/>
                          <w:marTop w:val="0"/>
                          <w:marBottom w:val="0"/>
                          <w:divBdr>
                            <w:top w:val="none" w:sz="0" w:space="0" w:color="auto"/>
                            <w:left w:val="none" w:sz="0" w:space="0" w:color="auto"/>
                            <w:bottom w:val="none" w:sz="0" w:space="0" w:color="auto"/>
                            <w:right w:val="none" w:sz="0" w:space="0" w:color="auto"/>
                          </w:divBdr>
                          <w:divsChild>
                            <w:div w:id="1596094480">
                              <w:marLeft w:val="0"/>
                              <w:marRight w:val="0"/>
                              <w:marTop w:val="0"/>
                              <w:marBottom w:val="0"/>
                              <w:divBdr>
                                <w:top w:val="none" w:sz="0" w:space="0" w:color="auto"/>
                                <w:left w:val="none" w:sz="0" w:space="0" w:color="auto"/>
                                <w:bottom w:val="none" w:sz="0" w:space="0" w:color="auto"/>
                                <w:right w:val="none" w:sz="0" w:space="0" w:color="auto"/>
                              </w:divBdr>
                              <w:divsChild>
                                <w:div w:id="608511308">
                                  <w:marLeft w:val="0"/>
                                  <w:marRight w:val="0"/>
                                  <w:marTop w:val="0"/>
                                  <w:marBottom w:val="0"/>
                                  <w:divBdr>
                                    <w:top w:val="none" w:sz="0" w:space="0" w:color="auto"/>
                                    <w:left w:val="none" w:sz="0" w:space="0" w:color="auto"/>
                                    <w:bottom w:val="none" w:sz="0" w:space="0" w:color="auto"/>
                                    <w:right w:val="none" w:sz="0" w:space="0" w:color="auto"/>
                                  </w:divBdr>
                                  <w:divsChild>
                                    <w:div w:id="862480052">
                                      <w:marLeft w:val="0"/>
                                      <w:marRight w:val="0"/>
                                      <w:marTop w:val="0"/>
                                      <w:marBottom w:val="0"/>
                                      <w:divBdr>
                                        <w:top w:val="none" w:sz="0" w:space="0" w:color="auto"/>
                                        <w:left w:val="none" w:sz="0" w:space="0" w:color="auto"/>
                                        <w:bottom w:val="none" w:sz="0" w:space="0" w:color="auto"/>
                                        <w:right w:val="none" w:sz="0" w:space="0" w:color="auto"/>
                                      </w:divBdr>
                                      <w:divsChild>
                                        <w:div w:id="1584995802">
                                          <w:marLeft w:val="0"/>
                                          <w:marRight w:val="0"/>
                                          <w:marTop w:val="0"/>
                                          <w:marBottom w:val="0"/>
                                          <w:divBdr>
                                            <w:top w:val="none" w:sz="0" w:space="0" w:color="auto"/>
                                            <w:left w:val="none" w:sz="0" w:space="0" w:color="auto"/>
                                            <w:bottom w:val="none" w:sz="0" w:space="0" w:color="auto"/>
                                            <w:right w:val="none" w:sz="0" w:space="0" w:color="auto"/>
                                          </w:divBdr>
                                          <w:divsChild>
                                            <w:div w:id="118070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69020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Id="rId1"
                 Target="numbering.xml"
                 Type="http://schemas.openxmlformats.org/officeDocument/2006/relationships/numbering"/>
   <Relationship Id="rId2"
                 Target="styles.xml"
                 Type="http://schemas.openxmlformats.org/officeDocument/2006/relationships/styles"/>
   <Relationship Id="rId3"
                 Target="settings.xml"
                 Type="http://schemas.openxmlformats.org/officeDocument/2006/relationships/settings"/>
   <Relationship Id="rId4"
                 Target="webSettings.xml"
                 Type="http://schemas.openxmlformats.org/officeDocument/2006/relationships/webSettings"/>
   <Relationship Id="rId5"
                 Target="footnotes.xml"
                 Type="http://schemas.openxmlformats.org/officeDocument/2006/relationships/footnotes"/>
   <Relationship Id="rId6"
                 Target="endnotes.xml"
                 Type="http://schemas.openxmlformats.org/officeDocument/2006/relationships/endnotes"/>
   <Relationship Id="rId7"
                 Target="fontTable.xml"
                 Type="http://schemas.openxmlformats.org/officeDocument/2006/relationships/fontTable"/>
   <Relationship Id="rId8"
                 Target="theme/theme1.xml"
                 Type="http://schemas.openxmlformats.org/officeDocument/2006/relationships/theme"/>
   <Relationship Id="rId9"
                 Target="media/image1.jpeg"
                 Type="http://schemas.openxmlformats.org/officeDocument/2006/relationships/image"/>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154</TotalTime>
  <Pages>2</Pages>
  <Words>109</Words>
  <Characters>627</Characters>
  <Application>Microsoft Office Word</Application>
  <DocSecurity>0</DocSecurity>
  <Lines>5</Lines>
  <Paragraphs>1</Paragraphs>
  <ScaleCrop>false</ScaleCrop>
  <Company>http://sdwm.org</Company>
  <LinksUpToDate>false</LinksUpToDate>
  <CharactersWithSpaces>735</CharactersWithSpaces>
  <SharedDoc>false</SharedDoc>
  <HyperlinksChanged>false</HyperlinksChanged>
  <AppVersion>16.0000</AppVersion>
</Properties>
</file>

<file path=docProps/core.xml><?xml version="1.0" encoding="utf-8"?>
<cp:coreProperties xmlns:cp="http://schemas.openxmlformats.org/package/2006/metadata/core-properties" xmlns:dcterms="http://purl.org/dc/terms/" xmlns:dc="http://purl.org/dc/elements/1.1/" xmlns:xsi="http://www.w3.org/2001/XMLSchema-instance">
  <dcterms:created xsi:type="dcterms:W3CDTF">2017-11-20T05:33:00Z</dcterms:created>
  <dc:creator>Administrator</dc:creator>
  <cp:lastModifiedBy>尹 真</cp:lastModifiedBy>
  <dcterms:modified xsi:type="dcterms:W3CDTF">2020-06-18T02:22:00Z</dcterms:modified>
  <cp:revision>111</cp:revision>
</cp:coreProperties>
</file>