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p14">
  <w:body>
    <w:p w14:paraId="06110F54" w14:textId="77777777" w:rsidP="00EC616F" w:rsidR="005B3B61" w:rsidRDefault="005B3B61" w:rsidRPr="005B3B61">
      <w:pPr>
        <w:spacing w:line="360" w:lineRule="auto"/>
        <w:rPr>
          <w:rFonts w:ascii="Times New Roman" w:hAnsi="Times New Roman"/>
          <w:sz w:val="24"/>
          <w:szCs w:val="24"/>
        </w:rPr>
      </w:pPr>
    </w:p>
    <w:p w14:paraId="5785D052" w14:textId="0ABE7646" w:rsidP="00FB0A40" w:rsidR="00232F4C" w:rsidRDefault="004E17ED" w:rsidRPr="006A6915">
      <w:pPr>
        <w:spacing w:line="276" w:lineRule="auto"/>
        <w:jc w:val="left"/>
        <w:rPr>
          <w:rFonts w:ascii="Times New Roman" w:hAnsi="Times New Roman"/>
          <w:b/>
          <w:color w:val="000000"/>
          <w:sz w:val="30"/>
          <w:szCs w:val="30"/>
        </w:rPr>
      </w:pPr>
      <w:r w:rsidRPr="006A6915">
        <w:rPr>
          <w:rFonts w:ascii="Times New Roman" w:hAnsi="Times New Roman"/>
          <w:b/>
          <w:color w:val="000000"/>
          <w:sz w:val="30"/>
          <w:szCs w:val="30"/>
        </w:rPr>
        <w:t>Preventive and therapeutic effects</w:t>
      </w:r>
      <w:r>
        <w:rPr>
          <w:rFonts w:ascii="Times New Roman" w:hAnsi="Times New Roman"/>
          <w:b/>
          <w:i w:val="true"/>
          <w:color w:val="000000"/>
          <w:sz w:val="30"/>
          <w:szCs w:val="30"/>
        </w:rPr>
        <w:t xml:space="preserve"> </w:t>
      </w:r>
      <w:r>
        <w:rPr>
          <w:rFonts w:ascii="Times New Roman" w:hAnsi="Times New Roman"/>
          <w:b/>
          <w:color w:val="000000"/>
          <w:sz w:val="30"/>
          <w:szCs w:val="30"/>
        </w:rPr>
        <w:t>of</w:t>
      </w:r>
      <w:r>
        <w:rPr>
          <w:rFonts w:ascii="Times New Roman" w:hAnsi="Times New Roman"/>
          <w:b/>
          <w:i w:val="true"/>
          <w:color w:val="000000"/>
          <w:sz w:val="30"/>
          <w:szCs w:val="30"/>
        </w:rPr>
        <w:t xml:space="preserve"> Aerva lanata</w:t>
      </w:r>
      <w:r>
        <w:rPr>
          <w:rFonts w:ascii="Times New Roman" w:hAnsi="Times New Roman"/>
          <w:b/>
          <w:color w:val="000000"/>
          <w:sz w:val="30"/>
          <w:szCs w:val="30"/>
        </w:rPr>
        <w:t xml:space="preserve"> (L.) extract on ethylene glycol-induced nephrolithiasis in male Wistar albino rats</w:t>
      </w:r>
    </w:p>
    <w:p w14:paraId="5F09FCC2" w14:textId="578CF024" w:rsidP="00DB059D" w:rsidR="00DB059D" w:rsidRDefault="00DB059D">
      <w:pPr>
        <w:widowControl/>
        <w:shd w:color="auto" w:fill="FFFFFF" w:val="clear"/>
        <w:spacing w:line="360" w:lineRule="auto"/>
        <w:jc w:val="left"/>
        <w:rPr>
          <w:rFonts w:ascii="Times New Roman" w:hAnsi="Times New Roman"/>
          <w:sz w:val="24"/>
          <w:szCs w:val="24"/>
        </w:rPr>
      </w:pPr>
      <w:r>
        <w:rPr>
          <w:rFonts w:ascii="Times New Roman" w:hAnsi="Times New Roman"/>
          <w:sz w:val="24"/>
          <w:szCs w:val="24"/>
        </w:rPr>
        <w:t xml:space="preserve">Ankul Singh S</w:t>
      </w:r>
      <w:proofErr w:type="gramStart"/>
      <w:proofErr w:type="gramEnd"/>
      <w:proofErr w:type="spellStart"/>
      <w:proofErr w:type="spellEnd"/>
      <w:r>
        <w:rPr>
          <w:rFonts w:ascii="Times New Roman" w:hAnsi="Times New Roman"/>
          <w:sz w:val="24"/>
          <w:szCs w:val="24"/>
          <w:vertAlign w:val="superscript"/>
        </w:rPr>
        <w:t/>
      </w:r>
      <w:r>
        <w:rPr>
          <w:rFonts w:ascii="Times New Roman" w:hAnsi="Times New Roman"/>
          <w:sz w:val="24"/>
          <w:szCs w:val="24"/>
        </w:rPr>
        <w:t>, Chitra Vellapandian</w:t>
      </w:r>
      <w:r>
        <w:rPr>
          <w:rFonts w:ascii="Times New Roman" w:hAnsi="Times New Roman"/>
          <w:sz w:val="24"/>
          <w:szCs w:val="24"/>
          <w:vertAlign w:val="superscript"/>
        </w:rPr>
        <w:t/>
      </w:r>
      <w:r>
        <w:rPr>
          <w:rFonts w:ascii="Times New Roman" w:hAnsi="Times New Roman"/>
          <w:sz w:val="24"/>
          <w:szCs w:val="24"/>
        </w:rPr>
        <w:t>, Gowri Krishna</w:t>
      </w:r>
      <w:r>
        <w:rPr>
          <w:rFonts w:ascii="Times New Roman" w:hAnsi="Times New Roman"/>
          <w:sz w:val="24"/>
          <w:szCs w:val="24"/>
          <w:vertAlign w:val="superscript"/>
        </w:rPr>
        <w:t>*</w:t>
      </w:r>
    </w:p>
    <w:p w14:paraId="54E57882" w14:textId="77777777" w:rsidP="00477AEE" w:rsidR="007D77F0" w:rsidRDefault="007D77F0" w:rsidRPr="007D77F0">
      <w:pPr>
        <w:widowControl/>
        <w:shd w:color="auto" w:fill="FFFFFF" w:val="clear"/>
        <w:jc w:val="left"/>
        <w:rPr>
          <w:rFonts w:ascii="Times New Roman" w:hAnsi="Times New Roman"/>
          <w:color w:val="000000"/>
          <w:kern w:val="0"/>
          <w:sz w:val="24"/>
          <w:szCs w:val="24"/>
        </w:rPr>
      </w:pPr>
    </w:p>
    <w:p>
      <w:pPr>
        <w:spacing w:line="276" w:lineRule="auto"/>
        <w:jc w:val="left"/>
        <w:rPr>
          <w:rFonts w:ascii="Times New Roman" w:hAnsi="Times New Roman"/>
          <w:sz w:val="24"/>
          <w:szCs w:val="24"/>
        </w:rPr>
      </w:pPr>
      <w:r>
        <w:rPr>
          <w:rFonts w:ascii="Times New Roman" w:hAnsi="Times New Roman"/>
          <w:sz w:val="24"/>
          <w:szCs w:val="24"/>
        </w:rPr>
        <w:t>1. Department of Pharmacology, SRM College of Pharmacy, SRM Institute of Science and Technology, Kattankulathur, Tamil Nadu 603203, India</w:t>
      </w:r>
    </w:p>
    <w:p w14:paraId="07B330E1" w14:textId="7DCA9AFD" w:rsidP="000E2E77" w:rsidR="00A57AA8" w:rsidRDefault="00A57AA8" w:rsidRPr="00DB059D">
      <w:pPr>
        <w:widowControl/>
        <w:shd w:color="auto" w:fill="FFFFFF" w:val="clear"/>
        <w:jc w:val="left"/>
        <w:rPr>
          <w:rFonts w:ascii="Times New Roman" w:hAnsi="Times New Roman"/>
          <w:color w:val="000000"/>
          <w:kern w:val="0"/>
          <w:sz w:val="24"/>
          <w:szCs w:val="24"/>
        </w:rPr>
      </w:pPr>
    </w:p>
    <w:p w14:paraId="5CC12241" w14:textId="144DC266" w:rsidP="007A33CA" w:rsidR="000E2E77" w:rsidRDefault="000E2E77">
      <w:pPr>
        <w:spacing w:line="276" w:lineRule="auto"/>
        <w:jc w:val="left"/>
        <w:rPr>
          <w:rFonts w:ascii="Times New Roman" w:hAnsi="宋体"/>
          <w:sz w:val="24"/>
          <w:szCs w:val="24"/>
        </w:rPr>
      </w:pPr>
      <w:r>
        <w:rPr>
          <w:rFonts w:ascii="Times New Roman" w:hAnsi="宋体" w:hint="eastAsia"/>
          <w:sz w:val="24"/>
          <w:szCs w:val="24"/>
        </w:rPr>
        <w:t/>
      </w:r>
      <w:proofErr w:type="spellStart"/>
      <w:proofErr w:type="spellEnd"/>
      <w:r>
        <w:rPr>
          <w:rFonts w:ascii="Times New Roman" w:hAnsi="宋体" w:hint="eastAsia"/>
          <w:sz w:val="24"/>
          <w:szCs w:val="24"/>
          <w:vertAlign w:val="superscript"/>
        </w:rPr>
        <w:t>*</w:t>
      </w:r>
      <w:r>
        <w:rPr>
          <w:rFonts w:ascii="Times New Roman" w:hAnsi="宋体" w:hint="eastAsia"/>
          <w:b w:val="true"/>
          <w:sz w:val="24"/>
          <w:szCs w:val="24"/>
        </w:rPr>
        <w:t>Corresponding author:</w:t>
      </w:r>
      <w:r>
        <w:rPr>
          <w:rFonts w:ascii="Times New Roman" w:hAnsi="宋体" w:hint="eastAsia"/>
          <w:sz w:val="24"/>
          <w:szCs w:val="24"/>
        </w:rPr>
        <w:t xml:space="preserve"> Assistant Professor, E-mail: gowri.krishna55@gmail.com.  </w:t>
      </w:r>
    </w:p>
    <w:p w14:paraId="5E43518B" w14:textId="2A2C07C1" w:rsidP="00A31BB0" w:rsidR="00A31BB0" w:rsidRDefault="00A31BB0">
      <w:pPr>
        <w:spacing w:line="360" w:lineRule="auto"/>
        <w:jc w:val="left"/>
        <w:rPr>
          <w:rFonts w:ascii="Times New Roman" w:hAnsi="宋体"/>
          <w:sz w:val="24"/>
          <w:szCs w:val="24"/>
        </w:rPr>
      </w:pPr>
      <w:r w:rsidRPr="005A0E05">
        <w:rPr>
          <w:rFonts w:ascii="Times New Roman" w:hAnsi="宋体"/>
          <w:sz w:val="24"/>
          <w:szCs w:val="24"/>
        </w:rPr>
        <w:t xml:space="preserve">Manuscript received 2022-3-9; accepted 2022-5-19; </w:t>
      </w:r>
      <w:proofErr w:type="spellStart"/>
      <w:proofErr w:type="spellEnd"/>
      <w:proofErr w:type="spellStart"/>
      <w:proofErr w:type="spellEnd"/>
    </w:p>
    <w:p w14:paraId="06278AC4" w14:textId="63718855" w:rsidP="00A31BB0" w:rsidR="00A31BB0" w:rsidRDefault="00A31BB0" w:rsidRPr="00A31BB0">
      <w:pPr>
        <w:spacing w:line="360" w:lineRule="auto"/>
        <w:jc w:val="left"/>
        <w:rPr>
          <w:rFonts w:ascii="Times New Roman" w:hAnsi="宋体"/>
          <w:sz w:val="24"/>
          <w:szCs w:val="24"/>
        </w:rPr>
      </w:pPr>
      <w:r>
        <w:rPr>
          <w:rFonts w:ascii="Times New Roman" w:hAnsi="宋体"/>
          <w:sz w:val="24"/>
          <w:szCs w:val="24"/>
        </w:rPr>
        <w:t xml:space="preserve">available online 2022-6-25.</w:t>
      </w:r>
      <w:proofErr w:type="spellStart"/>
      <w:proofErr w:type="spellEnd"/>
    </w:p>
    <w:p w14:paraId="5E69E551" w14:textId="77777777" w:rsidP="00E3596C" w:rsidR="00E3596C" w:rsidRDefault="00E3596C">
      <w:pPr>
        <w:jc w:val="left"/>
        <w:rPr>
          <w:rFonts w:ascii="Times New Roman" w:hAnsi="宋体"/>
          <w:sz w:val="24"/>
          <w:szCs w:val="24"/>
        </w:rPr>
      </w:pPr>
    </w:p>
    <w:p w14:paraId="1217AA18" w14:textId="536FEBEE" w:rsidP="00E3596C" w:rsidR="00E3596C" w:rsidRDefault="00E3596C">
      <w:pPr>
        <w:spacing w:line="276" w:lineRule="auto"/>
        <w:jc w:val="left"/>
        <w:rPr>
          <w:rFonts w:ascii="Times New Roman" w:hAnsi="宋体"/>
          <w:sz w:val="24"/>
          <w:szCs w:val="24"/>
        </w:rPr>
      </w:pPr>
      <w:r w:rsidRPr="00952A11">
        <w:rPr>
          <w:rFonts w:ascii="Times New Roman" w:hAnsi="宋体"/>
          <w:sz w:val="24"/>
          <w:szCs w:val="24"/>
        </w:rPr>
        <w:t/>
      </w:r>
      <w:proofErr w:type="spellStart"/>
      <w:proofErr w:type="spellEnd"/>
    </w:p>
    <w:p w14:paraId="07BAF9A2" w14:textId="20B68F86" w:rsidP="00AA655E" w:rsidR="00AA655E" w:rsidRDefault="00AA655E">
      <w:pPr>
        <w:spacing w:line="360" w:lineRule="auto"/>
        <w:jc w:val="left"/>
        <w:rPr>
          <w:rFonts w:ascii="Times New Roman" w:hAnsi="宋体"/>
          <w:sz w:val="24"/>
          <w:szCs w:val="24"/>
        </w:rPr>
      </w:pPr>
      <w:r w:rsidRPr="00952A11">
        <w:rPr>
          <w:rFonts w:ascii="Times New Roman" w:hAnsi="宋体"/>
          <w:sz w:val="24"/>
          <w:szCs w:val="24"/>
        </w:rPr>
        <w:t/>
      </w:r>
      <w:proofErr w:type="spellStart"/>
      <w:proofErr w:type="spellEnd"/>
    </w:p>
    <w:p w14:paraId="32031A72" w14:textId="77777777" w:rsidP="00952A11" w:rsidR="00952A11" w:rsidRDefault="00952A11" w:rsidRPr="00952A11">
      <w:pPr>
        <w:jc w:val="left"/>
        <w:rPr>
          <w:rFonts w:ascii="Times New Roman" w:hAnsi="宋体"/>
          <w:sz w:val="24"/>
          <w:szCs w:val="24"/>
        </w:rPr>
      </w:pPr>
    </w:p>
    <w:p w14:paraId="04A9E205" w14:textId="1A534137" w:rsidP="002C0F41" w:rsidR="00100EF1" w:rsidRDefault="00E559E8">
      <w:pPr>
        <w:autoSpaceDE w:val="0"/>
        <w:autoSpaceDN w:val="0"/>
        <w:adjustRightInd w:val="0"/>
        <w:spacing w:line="276" w:lineRule="auto"/>
        <w:jc w:val="left"/>
        <w:rPr>
          <w:rFonts w:ascii="Times New Roman" w:hAnsi="宋体"/>
          <w:sz w:val="24"/>
          <w:szCs w:val="24"/>
        </w:rPr>
      </w:pPr>
      <w:r>
        <w:rPr>
          <w:rFonts w:ascii="Times New Roman" w:hAnsi="Times New Roman" w:hint="eastAsia"/>
          <w:b/>
          <w:color w:val="000000"/>
          <w:sz w:val="24"/>
          <w:szCs w:val="24"/>
        </w:rPr>
        <w:t xml:space="preserve">[Abstract]  </w:t>
      </w:r>
      <w:proofErr w:type="gramStart"/>
      <w:r w:rsidR="00156DB6" w:rsidRPr="00BB3994">
        <w:rPr>
          <w:rFonts w:ascii="Times New Roman" w:hAnsi="宋体"/>
          <w:sz w:val="24"/>
          <w:szCs w:val="24"/>
        </w:rPr>
        <w:t xml:space="preserve">          </w:t>
      </w:r>
      <w:proofErr w:type="gramEnd"/>
      <w:r>
        <w:rPr>
          <w:rFonts w:ascii="Times New Roman" w:hAnsi="宋体"/>
          <w:b w:val="true"/>
          <w:sz w:val="24"/>
          <w:szCs w:val="24"/>
        </w:rPr>
        <w:t>Objective</w:t>
      </w:r>
      <w:r>
        <w:rPr>
          <w:rFonts w:ascii="Times New Roman" w:hAnsi="宋体"/>
          <w:sz w:val="24"/>
          <w:szCs w:val="24"/>
        </w:rPr>
        <w:t xml:space="preserve">  Nephrolithiasis is a common urological disease. This study aims to evaluate the preventive and therapeutic effects of hydro-alcoholic extract of </w:t>
      </w:r>
      <w:r>
        <w:rPr>
          <w:rFonts w:ascii="Times New Roman" w:hAnsi="宋体"/>
          <w:i w:val="true"/>
          <w:sz w:val="24"/>
          <w:szCs w:val="24"/>
        </w:rPr>
        <w:t xml:space="preserve">Aerva lanata </w:t>
      </w:r>
      <w:r>
        <w:rPr>
          <w:rFonts w:ascii="Times New Roman" w:hAnsi="宋体"/>
          <w:sz w:val="24"/>
          <w:szCs w:val="24"/>
        </w:rPr>
        <w:t xml:space="preserve">(L.) roots (HAEAL) on ethylene glycol-induced nephrolithiasis in rats.  </w:t>
      </w:r>
      <w:r>
        <w:rPr>
          <w:rFonts w:ascii="Times New Roman" w:hAnsi="宋体"/>
          <w:b w:val="true"/>
          <w:sz w:val="24"/>
          <w:szCs w:val="24"/>
        </w:rPr>
        <w:t>Methods</w:t>
      </w:r>
      <w:r>
        <w:rPr>
          <w:rFonts w:ascii="Times New Roman" w:hAnsi="宋体"/>
          <w:sz w:val="24"/>
          <w:szCs w:val="24"/>
        </w:rPr>
        <w:t xml:space="preserve">  Fifty grams of shade-dried coarsely powdered </w:t>
      </w:r>
      <w:r>
        <w:rPr>
          <w:rFonts w:ascii="Times New Roman" w:hAnsi="宋体"/>
          <w:i w:val="true"/>
          <w:sz w:val="24"/>
          <w:szCs w:val="24"/>
        </w:rPr>
        <w:t>Aerva lanata</w:t>
      </w:r>
      <w:r>
        <w:rPr>
          <w:rFonts w:ascii="Times New Roman" w:hAnsi="宋体"/>
          <w:sz w:val="24"/>
          <w:szCs w:val="24"/>
        </w:rPr>
        <w:t xml:space="preserve"> (L.) root was successively extracted with organic solvents in increasing order of polarity [petroleum ether (60 −80 °C), chloroform, and ethanol] using a Soxhlet apparatus, and then concentrated. Physical tests including nature, color, odor, and texture were performed on the herbal suspension. </w:t>
      </w:r>
      <w:r>
        <w:rPr>
          <w:rFonts w:ascii="Times New Roman" w:hAnsi="宋体"/>
          <w:i w:val="true"/>
          <w:sz w:val="24"/>
          <w:szCs w:val="24"/>
        </w:rPr>
        <w:t xml:space="preserve">In vitro </w:t>
      </w:r>
      <w:r>
        <w:rPr>
          <w:rFonts w:ascii="Times New Roman" w:hAnsi="宋体"/>
          <w:sz w:val="24"/>
          <w:szCs w:val="24"/>
        </w:rPr>
        <w:t xml:space="preserve">nephrolithiasis assessment was performed by nucleation assay, aggregation assay, and crystal growth assay. Thirty adult male Wistar albino rats were randomly divided into five groups (six rats in each group). Group 1: negative control group without induction or treatment till day 28. Group 2: positive control group receiving a daily oral solution of 0.75% ethylene glycol till day 14, and mixed with distilled water till day 28.  Group 3: standard group receiving a daily oral solution of 0.75% ethylene glycol till day 14 and Cystone (750 mg/kg) from day 15 to day 28. Group 4: low dose HAEAL group receiving a daily oral solution of  0.75% ethylene glycol till day 14, and 400 mg/kg HAEAL from day 15 to day 28 (1 mL per day). Group 5: high dose HAEAL group receiving a daily oral solution of 0.75% ethylene glycol till day 14, and 800 mg/kg HAEAL from day 15 to day 28 (1 mL per day). Urine (urine volume, pH value, appearance, odor, and turbidity) examination and  serum test were performed. On day 29, the kidneys were dissected, and histopathology examination was performed to determine the degree of tubular injury.  </w:t>
      </w:r>
      <w:r>
        <w:rPr>
          <w:rFonts w:ascii="Times New Roman" w:hAnsi="宋体"/>
          <w:b w:val="true"/>
          <w:sz w:val="24"/>
          <w:szCs w:val="24"/>
        </w:rPr>
        <w:t>Results</w:t>
      </w:r>
      <w:r>
        <w:rPr>
          <w:rFonts w:ascii="Times New Roman" w:hAnsi="宋体"/>
          <w:sz w:val="24"/>
          <w:szCs w:val="24"/>
        </w:rPr>
        <w:t xml:space="preserve">  The suspension showed stability and aroma with no turbidity at room temperature. The suspension did not show changes in color and odor until day 3, indicating that the preparation was stable for 72 h. Body weight decreased in the positive control group indicating stone formation and changes in water intake. Both standard and HAEAL treatments restored the body weight to normal levels after treatment, indicating the beneficial effects of the treatment. Histopathological examination revealed no significant findings in the negative control group, whereas the positive control group showed inflammation in the kidney parenchyma. Compared with positive control group, there was increase in urine volume and excretion of urinary constituents such as calcium and oxalate (</w:t>
      </w:r>
      <w:r>
        <w:rPr>
          <w:rFonts w:ascii="Times New Roman" w:hAnsi="宋体"/>
          <w:i w:val="true"/>
          <w:sz w:val="24"/>
          <w:szCs w:val="24"/>
        </w:rPr>
        <w:t>P</w:t>
      </w:r>
      <w:r>
        <w:rPr>
          <w:rFonts w:ascii="Times New Roman" w:hAnsi="宋体"/>
          <w:sz w:val="24"/>
          <w:szCs w:val="24"/>
        </w:rPr>
        <w:t xml:space="preserve"> &lt; 0.01) as well as improved clearance rate (</w:t>
      </w:r>
      <w:r>
        <w:rPr>
          <w:rFonts w:ascii="Times New Roman" w:hAnsi="宋体"/>
          <w:i w:val="true"/>
          <w:sz w:val="24"/>
          <w:szCs w:val="24"/>
        </w:rPr>
        <w:t>P</w:t>
      </w:r>
      <w:r>
        <w:rPr>
          <w:rFonts w:ascii="Times New Roman" w:hAnsi="宋体"/>
          <w:sz w:val="24"/>
          <w:szCs w:val="24"/>
        </w:rPr>
        <w:t xml:space="preserve"> &lt; 0.05) in HAEAL treatment groups, in addition, the urine pH value of HAEAL groups was increased.  </w:t>
      </w:r>
      <w:r>
        <w:rPr>
          <w:rFonts w:ascii="Times New Roman" w:hAnsi="宋体"/>
          <w:b w:val="true"/>
          <w:sz w:val="24"/>
          <w:szCs w:val="24"/>
        </w:rPr>
        <w:t>Conclusion</w:t>
      </w:r>
      <w:r>
        <w:rPr>
          <w:rFonts w:ascii="Times New Roman" w:hAnsi="宋体"/>
          <w:sz w:val="24"/>
          <w:szCs w:val="24"/>
        </w:rPr>
        <w:t xml:space="preserve">  HAEAL reduced nephrolithiasis formation and had a diuretic effect, which could be used to promote the expulsion of stones. Further studies are needed to enhance the stability of the suspension for the production of better pharmaceutical formulations.       </w:t>
      </w:r>
    </w:p>
    <w:p w14:paraId="2370A8A6" w14:textId="77777777" w:rsidP="002C0F41" w:rsidR="002C0F41" w:rsidRDefault="002C0F41" w:rsidRPr="001A791D">
      <w:pPr>
        <w:autoSpaceDE w:val="0"/>
        <w:autoSpaceDN w:val="0"/>
        <w:adjustRightInd w:val="0"/>
        <w:jc w:val="left"/>
        <w:rPr>
          <w:rFonts w:ascii="Times New Roman" w:hAnsi="Times New Roman"/>
          <w:color w:val="000000"/>
          <w:sz w:val="24"/>
          <w:szCs w:val="24"/>
        </w:rPr>
      </w:pPr>
    </w:p>
    <w:p w14:paraId="11240660" w14:textId="037409EA" w:rsidP="002C0F41" w:rsidR="00496C93" w:rsidRDefault="0053570B">
      <w:pPr>
        <w:autoSpaceDE w:val="0"/>
        <w:autoSpaceDN w:val="0"/>
        <w:adjustRightInd w:val="0"/>
        <w:spacing w:line="276" w:lineRule="auto"/>
        <w:jc w:val="left"/>
        <w:rPr>
          <w:rFonts w:ascii="Times New Roman" w:hAnsi="Times New Roman"/>
          <w:sz w:val="24"/>
          <w:szCs w:val="24"/>
        </w:rPr>
      </w:pPr>
      <w:r w:rsidRPr="00232F4C">
        <w:rPr>
          <w:rFonts w:ascii="Times New Roman" w:hAnsi="Times New Roman"/>
          <w:b/>
          <w:color w:val="000000"/>
          <w:sz w:val="24"/>
          <w:szCs w:val="24"/>
        </w:rPr>
        <w:t xml:space="preserve">[Key words] </w:t>
      </w:r>
      <w:r w:rsidR="00156DB6" w:rsidRPr="002500D0">
        <w:rPr>
          <w:rFonts w:ascii="Times New Roman" w:hAnsi="Times New Roman" w:hint="eastAsia"/>
          <w:sz w:val="24"/>
          <w:szCs w:val="24"/>
        </w:rPr>
        <w:t xml:space="preserve">Aerva lanata(L.); Nephrolithiasis; Ethylene glycol; Antioxidant; Tubular injury; Diuresis; Suspension</w:t>
      </w:r>
      <w:proofErr w:type="gramStart"/>
      <w:proofErr w:type="gramEnd"/>
      <w:proofErr w:type="spellStart"/>
      <w:proofErr w:type="spellEnd"/>
    </w:p>
    <w:p w14:paraId="15AD1AF2" w14:textId="514E286A" w:rsidP="00F73EB3" w:rsidR="00F73EB3" w:rsidRDefault="00F73EB3" w:rsidRPr="00F73EB3">
      <w:pPr>
        <w:autoSpaceDE w:val="0"/>
        <w:autoSpaceDN w:val="0"/>
        <w:adjustRightInd w:val="0"/>
        <w:spacing w:line="480" w:lineRule="auto"/>
        <w:jc w:val="left"/>
        <w:rPr>
          <w:rFonts w:ascii="Times New Roman" w:hAnsi="Times New Roman"/>
          <w:sz w:val="24"/>
          <w:szCs w:val="24"/>
        </w:rPr>
      </w:pPr>
      <w:r w:rsidRPr="00232F4C">
        <w:rPr>
          <w:rFonts w:ascii="Times New Roman" w:hAnsi="Times New Roman"/>
          <w:b/>
          <w:color w:val="000000"/>
          <w:sz w:val="24"/>
          <w:szCs w:val="24"/>
        </w:rPr>
        <w:t xml:space="preserve">[DOI] </w:t>
      </w:r>
      <w:r w:rsidRPr="002500D0">
        <w:rPr>
          <w:rFonts w:ascii="Times New Roman" w:hAnsi="Times New Roman" w:hint="eastAsia"/>
          <w:sz w:val="24"/>
          <w:szCs w:val="24"/>
        </w:rPr>
        <w:t>10.1016/j.dcmed.2022.06.009</w:t>
      </w:r>
      <w:proofErr w:type="spellStart"/>
      <w:proofErr w:type="spellEnd"/>
    </w:p>
    <w:p w14:paraId="09ADCC5F" w14:textId="77777777" w:rsidP="005620D6" w:rsidR="005620D6" w:rsidRDefault="005620D6">
      <w:pPr>
        <w:spacing w:line="276" w:lineRule="auto"/>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1  Introduction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claims of the antiurolithiatic activity have only been examined for a few plants and herbal formulations, including </w:t>
      </w:r>
      <w:r>
        <w:rPr>
          <w:rFonts w:ascii="Times New Roman" w:hAnsi="宋体" w:hint="eastAsia"/>
          <w:i w:val="true"/>
          <w:sz w:val="24"/>
          <w:szCs w:val="24"/>
        </w:rPr>
        <w:t>Aerva lanata</w:t>
      </w:r>
      <w:r>
        <w:rPr>
          <w:rFonts w:ascii="Times New Roman" w:hAnsi="宋体" w:hint="eastAsia"/>
          <w:sz w:val="24"/>
          <w:szCs w:val="24"/>
        </w:rPr>
        <w:t xml:space="preserve"> (L.) in both India and China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rPr>
        <w:t xml:space="preserve">. Kidney stone formation is asymptomatic in the early stage. As it progresses, signs and symptoms such as flank pain (backside pain), hematuria (blood in urine), obstructive uropathy, urine blockage, hydronephrosis (kidney dilation), and renal colic (intense cramp) begin to appear, resulting in associated suffering from nausea and vomiting </w:t>
      </w:r>
      <w:r>
        <w:rPr>
          <w:rFonts w:ascii="Times New Roman" w:hAnsi="宋体" w:hint="eastAsia"/>
          <w:sz w:val="24"/>
          <w:szCs w:val="24"/>
          <w:vertAlign w:val="superscript"/>
        </w:rPr>
        <w:t>[</w:t>
      </w:r>
      <w:r>
        <w:rPr>
          <w:rFonts w:ascii="Times New Roman" w:hAnsi="宋体" w:hint="eastAsia"/>
          <w:sz w:val="24"/>
          <w:szCs w:val="24"/>
          <w:vertAlign w:val="superscript"/>
        </w:rPr>
        <w:t>2</w:t>
      </w:r>
      <w:r>
        <w:rPr>
          <w:rFonts w:ascii="Times New Roman" w:hAnsi="宋体" w:hint="eastAsia"/>
          <w:sz w:val="24"/>
          <w:szCs w:val="24"/>
          <w:vertAlign w:val="superscript"/>
        </w:rPr>
        <w:t>]</w:t>
      </w:r>
      <w:r>
        <w:rPr>
          <w:rFonts w:ascii="Times New Roman" w:hAnsi="宋体" w:hint="eastAsia"/>
          <w:sz w:val="24"/>
          <w:szCs w:val="24"/>
        </w:rPr>
        <w:t xml:space="preserve">. The annual incidence of nephrolithiasis is eight cases per 1 000 adults </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The extensive obligation to establish convenient alternative therapy put an end to the uncertainty regarding treatment costs and clinical management of the patients. Owing to supersaturation, the solutes in urine precipitate and coalesce into crystals (i.e., when the concentration strength of two ions surpasses their point of saturation in the solution, crystallization occurs) </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this process relies on the thermodynamics (nucleation) and kinetics (crystal growth) of supersaturated solutions </w:t>
      </w:r>
      <w:r>
        <w:rPr>
          <w:rFonts w:ascii="Times New Roman" w:hAnsi="宋体" w:hint="eastAsia"/>
          <w:sz w:val="24"/>
          <w:szCs w:val="24"/>
          <w:vertAlign w:val="superscript"/>
        </w:rPr>
        <w:t>[</w:t>
      </w:r>
      <w:r>
        <w:rPr>
          <w:rFonts w:ascii="Times New Roman" w:hAnsi="宋体" w:hint="eastAsia"/>
          <w:sz w:val="24"/>
          <w:szCs w:val="24"/>
          <w:vertAlign w:val="superscript"/>
        </w:rPr>
        <w:t>4</w:t>
      </w:r>
      <w:r>
        <w:rPr>
          <w:rFonts w:ascii="Times New Roman" w:hAnsi="宋体" w:hint="eastAsia"/>
          <w:sz w:val="24"/>
          <w:szCs w:val="24"/>
          <w:vertAlign w:val="superscript"/>
        </w:rPr>
        <w:t>]</w:t>
      </w:r>
      <w:r>
        <w:rPr>
          <w:rFonts w:ascii="Times New Roman" w:hAnsi="宋体" w:hint="eastAsia"/>
          <w:sz w:val="24"/>
          <w:szCs w:val="24"/>
        </w:rPr>
        <w:t xml:space="preserve">. Calcium oxalate and uric acid calculi constitute 85% and 15% of all kidney stones in developed countries, and 75% and 5% in developing countries, respectively; struvite stones represent 7% and 14% of all kidney stones in developed and developing countries, respectively </w:t>
      </w:r>
      <w:r>
        <w:rPr>
          <w:rFonts w:ascii="Times New Roman" w:hAnsi="宋体" w:hint="eastAsia"/>
          <w:sz w:val="24"/>
          <w:szCs w:val="24"/>
          <w:vertAlign w:val="superscript"/>
        </w:rPr>
        <w:t>[</w:t>
      </w:r>
      <w:r>
        <w:rPr>
          <w:rFonts w:ascii="Times New Roman" w:hAnsi="宋体" w:hint="eastAsia"/>
          <w:sz w:val="24"/>
          <w:szCs w:val="24"/>
          <w:vertAlign w:val="superscript"/>
        </w:rPr>
        <w:t>5</w:t>
      </w:r>
      <w:r>
        <w:rPr>
          <w:rFonts w:ascii="Times New Roman" w:hAnsi="宋体" w:hint="eastAsia"/>
          <w:sz w:val="24"/>
          <w:szCs w:val="24"/>
          <w:vertAlign w:val="superscript"/>
        </w:rPr>
        <w:t>]</w:t>
      </w:r>
      <w:r>
        <w:rPr>
          <w:rFonts w:ascii="Times New Roman" w:hAnsi="宋体" w:hint="eastAsia"/>
          <w:sz w:val="24"/>
          <w:szCs w:val="24"/>
        </w:rPr>
        <w:t xml:space="preserve">. In the current study, we focused on the preventive effect of </w:t>
      </w:r>
      <w:r>
        <w:rPr>
          <w:rFonts w:ascii="Times New Roman" w:hAnsi="宋体" w:hint="eastAsia"/>
          <w:i w:val="true"/>
          <w:sz w:val="24"/>
          <w:szCs w:val="24"/>
        </w:rPr>
        <w:t>Aerva lanata</w:t>
      </w:r>
      <w:r>
        <w:rPr>
          <w:rFonts w:ascii="Times New Roman" w:hAnsi="宋体" w:hint="eastAsia"/>
          <w:sz w:val="24"/>
          <w:szCs w:val="24"/>
        </w:rPr>
        <w:t xml:space="preserve"> (L.) plant extract on kidney stone formation.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i w:val="true"/>
          <w:sz w:val="24"/>
          <w:szCs w:val="24"/>
        </w:rPr>
        <w:t>Aerva lanata</w:t>
      </w:r>
      <w:r>
        <w:rPr>
          <w:rFonts w:ascii="Times New Roman" w:hAnsi="宋体" w:hint="eastAsia"/>
          <w:sz w:val="24"/>
          <w:szCs w:val="24"/>
        </w:rPr>
        <w:t xml:space="preserve"> (L.) is spread throughout India and also used in China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rPr>
        <w:t xml:space="preserve">. </w:t>
      </w:r>
      <w:r>
        <w:rPr>
          <w:rFonts w:ascii="Times New Roman" w:hAnsi="宋体" w:hint="eastAsia"/>
          <w:i w:val="true"/>
          <w:sz w:val="24"/>
          <w:szCs w:val="24"/>
        </w:rPr>
        <w:t>Aerva glabrata</w:t>
      </w:r>
      <w:r>
        <w:rPr>
          <w:rFonts w:ascii="Times New Roman" w:hAnsi="宋体" w:hint="eastAsia"/>
          <w:sz w:val="24"/>
          <w:szCs w:val="24"/>
        </w:rPr>
        <w:t xml:space="preserve">, </w:t>
      </w:r>
      <w:r>
        <w:rPr>
          <w:rFonts w:ascii="Times New Roman" w:hAnsi="宋体" w:hint="eastAsia"/>
          <w:i w:val="true"/>
          <w:sz w:val="24"/>
          <w:szCs w:val="24"/>
        </w:rPr>
        <w:t>Aerva hainanensis</w:t>
      </w:r>
      <w:r>
        <w:rPr>
          <w:rFonts w:ascii="Times New Roman" w:hAnsi="宋体" w:hint="eastAsia"/>
          <w:sz w:val="24"/>
          <w:szCs w:val="24"/>
        </w:rPr>
        <w:t xml:space="preserve">, </w:t>
      </w:r>
      <w:r>
        <w:rPr>
          <w:rFonts w:ascii="Times New Roman" w:hAnsi="宋体" w:hint="eastAsia"/>
          <w:i w:val="true"/>
          <w:sz w:val="24"/>
          <w:szCs w:val="24"/>
        </w:rPr>
        <w:t>Aerva sanguinolenta</w:t>
      </w:r>
      <w:r>
        <w:rPr>
          <w:rFonts w:ascii="Times New Roman" w:hAnsi="宋体" w:hint="eastAsia"/>
          <w:sz w:val="24"/>
          <w:szCs w:val="24"/>
        </w:rPr>
        <w:t xml:space="preserve"> are the species of Aerva found exclusively in China with its usage in various health problems </w:t>
      </w:r>
      <w:r>
        <w:rPr>
          <w:rFonts w:ascii="Times New Roman" w:hAnsi="宋体" w:hint="eastAsia"/>
          <w:sz w:val="24"/>
          <w:szCs w:val="24"/>
          <w:vertAlign w:val="superscript"/>
        </w:rPr>
        <w:t>[</w:t>
      </w:r>
      <w:r>
        <w:rPr>
          <w:rFonts w:ascii="Times New Roman" w:hAnsi="宋体" w:hint="eastAsia"/>
          <w:sz w:val="24"/>
          <w:szCs w:val="24"/>
          <w:vertAlign w:val="superscript"/>
        </w:rPr>
        <w:t>6</w:t>
      </w:r>
      <w:r>
        <w:rPr>
          <w:rFonts w:ascii="Times New Roman" w:hAnsi="宋体" w:hint="eastAsia"/>
          <w:sz w:val="24"/>
          <w:szCs w:val="24"/>
          <w:vertAlign w:val="superscript"/>
        </w:rPr>
        <w:t>]</w:t>
      </w:r>
      <w:r>
        <w:rPr>
          <w:rFonts w:ascii="Times New Roman" w:hAnsi="宋体" w:hint="eastAsia"/>
          <w:sz w:val="24"/>
          <w:szCs w:val="24"/>
        </w:rPr>
        <w:t xml:space="preserve">.   Its extract is used in several regions for jaundice, liver congestion, dyspepsia, typhoid, pneumonia, biliousness, and prolonged fevers </w:t>
      </w:r>
      <w:r>
        <w:rPr>
          <w:rFonts w:ascii="Times New Roman" w:hAnsi="宋体" w:hint="eastAsia"/>
          <w:sz w:val="24"/>
          <w:szCs w:val="24"/>
          <w:vertAlign w:val="superscript"/>
        </w:rPr>
        <w:t>[</w:t>
      </w:r>
      <w:r>
        <w:rPr>
          <w:rFonts w:ascii="Times New Roman" w:hAnsi="宋体" w:hint="eastAsia"/>
          <w:sz w:val="24"/>
          <w:szCs w:val="24"/>
          <w:vertAlign w:val="superscript"/>
        </w:rPr>
        <w:t>7</w:t>
      </w:r>
      <w:r>
        <w:rPr>
          <w:rFonts w:ascii="Times New Roman" w:hAnsi="宋体" w:hint="eastAsia"/>
          <w:sz w:val="24"/>
          <w:szCs w:val="24"/>
          <w:vertAlign w:val="superscript"/>
        </w:rPr>
        <w:t>]</w:t>
      </w:r>
      <w:r>
        <w:rPr>
          <w:rFonts w:ascii="Times New Roman" w:hAnsi="宋体" w:hint="eastAsia"/>
          <w:sz w:val="24"/>
          <w:szCs w:val="24"/>
        </w:rPr>
        <w:t xml:space="preserve">. It has been scientifically studied for its antimicrobial </w:t>
      </w:r>
      <w:r>
        <w:rPr>
          <w:rFonts w:ascii="Times New Roman" w:hAnsi="宋体" w:hint="eastAsia"/>
          <w:sz w:val="24"/>
          <w:szCs w:val="24"/>
          <w:vertAlign w:val="superscript"/>
        </w:rPr>
        <w:t>[</w:t>
      </w:r>
      <w:r>
        <w:rPr>
          <w:rFonts w:ascii="Times New Roman" w:hAnsi="宋体" w:hint="eastAsia"/>
          <w:sz w:val="24"/>
          <w:szCs w:val="24"/>
          <w:vertAlign w:val="superscript"/>
        </w:rPr>
        <w:t>8</w:t>
      </w:r>
      <w:r>
        <w:rPr>
          <w:rFonts w:ascii="Times New Roman" w:hAnsi="宋体" w:hint="eastAsia"/>
          <w:sz w:val="24"/>
          <w:szCs w:val="24"/>
          <w:vertAlign w:val="superscript"/>
        </w:rPr>
        <w:t>]</w:t>
      </w:r>
      <w:r>
        <w:rPr>
          <w:rFonts w:ascii="Times New Roman" w:hAnsi="宋体" w:hint="eastAsia"/>
          <w:sz w:val="24"/>
          <w:szCs w:val="24"/>
        </w:rPr>
        <w:t xml:space="preserve">, diuretic </w:t>
      </w:r>
      <w:r>
        <w:rPr>
          <w:rFonts w:ascii="Times New Roman" w:hAnsi="宋体" w:hint="eastAsia"/>
          <w:sz w:val="24"/>
          <w:szCs w:val="24"/>
          <w:vertAlign w:val="superscript"/>
        </w:rPr>
        <w:t>[</w:t>
      </w:r>
      <w:r>
        <w:rPr>
          <w:rFonts w:ascii="Times New Roman" w:hAnsi="宋体" w:hint="eastAsia"/>
          <w:sz w:val="24"/>
          <w:szCs w:val="24"/>
          <w:vertAlign w:val="superscript"/>
        </w:rPr>
        <w:t>9</w:t>
      </w:r>
      <w:r>
        <w:rPr>
          <w:rFonts w:ascii="Times New Roman" w:hAnsi="宋体" w:hint="eastAsia"/>
          <w:sz w:val="24"/>
          <w:szCs w:val="24"/>
          <w:vertAlign w:val="superscript"/>
        </w:rPr>
        <w:t xml:space="preserve">, </w:t>
      </w:r>
      <w:r>
        <w:rPr>
          <w:rFonts w:ascii="Times New Roman" w:hAnsi="宋体" w:hint="eastAsia"/>
          <w:sz w:val="24"/>
          <w:szCs w:val="24"/>
          <w:vertAlign w:val="superscript"/>
        </w:rPr>
        <w:t>10</w:t>
      </w:r>
      <w:r>
        <w:rPr>
          <w:rFonts w:ascii="Times New Roman" w:hAnsi="宋体" w:hint="eastAsia"/>
          <w:sz w:val="24"/>
          <w:szCs w:val="24"/>
          <w:vertAlign w:val="superscript"/>
        </w:rPr>
        <w:t>]</w:t>
      </w:r>
      <w:r>
        <w:rPr>
          <w:rFonts w:ascii="Times New Roman" w:hAnsi="宋体" w:hint="eastAsia"/>
          <w:sz w:val="24"/>
          <w:szCs w:val="24"/>
        </w:rPr>
        <w:t xml:space="preserve">, nephroprotective </w:t>
      </w:r>
      <w:r>
        <w:rPr>
          <w:rFonts w:ascii="Times New Roman" w:hAnsi="宋体" w:hint="eastAsia"/>
          <w:sz w:val="24"/>
          <w:szCs w:val="24"/>
          <w:vertAlign w:val="superscript"/>
        </w:rPr>
        <w:t>[</w:t>
      </w:r>
      <w:r>
        <w:rPr>
          <w:rFonts w:ascii="Times New Roman" w:hAnsi="宋体" w:hint="eastAsia"/>
          <w:sz w:val="24"/>
          <w:szCs w:val="24"/>
          <w:vertAlign w:val="superscript"/>
        </w:rPr>
        <w:t>11</w:t>
      </w:r>
      <w:r>
        <w:rPr>
          <w:rFonts w:ascii="Times New Roman" w:hAnsi="宋体" w:hint="eastAsia"/>
          <w:sz w:val="24"/>
          <w:szCs w:val="24"/>
          <w:vertAlign w:val="superscript"/>
        </w:rPr>
        <w:t>]</w:t>
      </w:r>
      <w:r>
        <w:rPr>
          <w:rFonts w:ascii="Times New Roman" w:hAnsi="宋体" w:hint="eastAsia"/>
          <w:sz w:val="24"/>
          <w:szCs w:val="24"/>
        </w:rPr>
        <w:t xml:space="preserve">, anti-asthmatic </w:t>
      </w:r>
      <w:r>
        <w:rPr>
          <w:rFonts w:ascii="Times New Roman" w:hAnsi="宋体" w:hint="eastAsia"/>
          <w:sz w:val="24"/>
          <w:szCs w:val="24"/>
          <w:vertAlign w:val="superscript"/>
        </w:rPr>
        <w:t>[</w:t>
      </w:r>
      <w:r>
        <w:rPr>
          <w:rFonts w:ascii="Times New Roman" w:hAnsi="宋体" w:hint="eastAsia"/>
          <w:sz w:val="24"/>
          <w:szCs w:val="24"/>
          <w:vertAlign w:val="superscript"/>
        </w:rPr>
        <w:t>12</w:t>
      </w:r>
      <w:r>
        <w:rPr>
          <w:rFonts w:ascii="Times New Roman" w:hAnsi="宋体" w:hint="eastAsia"/>
          <w:sz w:val="24"/>
          <w:szCs w:val="24"/>
          <w:vertAlign w:val="superscript"/>
        </w:rPr>
        <w:t>]</w:t>
      </w:r>
      <w:r>
        <w:rPr>
          <w:rFonts w:ascii="Times New Roman" w:hAnsi="宋体" w:hint="eastAsia"/>
          <w:sz w:val="24"/>
          <w:szCs w:val="24"/>
        </w:rPr>
        <w:t xml:space="preserve">, anti-fertility </w:t>
      </w:r>
      <w:r>
        <w:rPr>
          <w:rFonts w:ascii="Times New Roman" w:hAnsi="宋体" w:hint="eastAsia"/>
          <w:sz w:val="24"/>
          <w:szCs w:val="24"/>
          <w:vertAlign w:val="superscript"/>
        </w:rPr>
        <w:t>[</w:t>
      </w:r>
      <w:r>
        <w:rPr>
          <w:rFonts w:ascii="Times New Roman" w:hAnsi="宋体" w:hint="eastAsia"/>
          <w:sz w:val="24"/>
          <w:szCs w:val="24"/>
          <w:vertAlign w:val="superscript"/>
        </w:rPr>
        <w:t>13</w:t>
      </w:r>
      <w:r>
        <w:rPr>
          <w:rFonts w:ascii="Times New Roman" w:hAnsi="宋体" w:hint="eastAsia"/>
          <w:sz w:val="24"/>
          <w:szCs w:val="24"/>
          <w:vertAlign w:val="superscript"/>
        </w:rPr>
        <w:t>]</w:t>
      </w:r>
      <w:r>
        <w:rPr>
          <w:rFonts w:ascii="Times New Roman" w:hAnsi="宋体" w:hint="eastAsia"/>
          <w:sz w:val="24"/>
          <w:szCs w:val="24"/>
        </w:rPr>
        <w:t xml:space="preserve">, anti-hyperglycemia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xml:space="preserve">, hepatoprotective </w:t>
      </w:r>
      <w:r>
        <w:rPr>
          <w:rFonts w:ascii="Times New Roman" w:hAnsi="宋体" w:hint="eastAsia"/>
          <w:sz w:val="24"/>
          <w:szCs w:val="24"/>
          <w:vertAlign w:val="superscript"/>
        </w:rPr>
        <w:t>[</w:t>
      </w:r>
      <w:r>
        <w:rPr>
          <w:rFonts w:ascii="Times New Roman" w:hAnsi="宋体" w:hint="eastAsia"/>
          <w:sz w:val="24"/>
          <w:szCs w:val="24"/>
          <w:vertAlign w:val="superscript"/>
        </w:rPr>
        <w:t>15</w:t>
      </w:r>
      <w:r>
        <w:rPr>
          <w:rFonts w:ascii="Times New Roman" w:hAnsi="宋体" w:hint="eastAsia"/>
          <w:sz w:val="24"/>
          <w:szCs w:val="24"/>
          <w:vertAlign w:val="superscript"/>
        </w:rPr>
        <w:t>]</w:t>
      </w:r>
      <w:r>
        <w:rPr>
          <w:rFonts w:ascii="Times New Roman" w:hAnsi="宋体" w:hint="eastAsia"/>
          <w:sz w:val="24"/>
          <w:szCs w:val="24"/>
        </w:rPr>
        <w:t xml:space="preserve">, hypolipidemic </w:t>
      </w:r>
      <w:r>
        <w:rPr>
          <w:rFonts w:ascii="Times New Roman" w:hAnsi="宋体" w:hint="eastAsia"/>
          <w:sz w:val="24"/>
          <w:szCs w:val="24"/>
          <w:vertAlign w:val="superscript"/>
        </w:rPr>
        <w:t>[</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 xml:space="preserve">, immunomodulatory </w:t>
      </w:r>
      <w:r>
        <w:rPr>
          <w:rFonts w:ascii="Times New Roman" w:hAnsi="宋体" w:hint="eastAsia"/>
          <w:sz w:val="24"/>
          <w:szCs w:val="24"/>
          <w:vertAlign w:val="superscript"/>
        </w:rPr>
        <w:t>[</w:t>
      </w:r>
      <w:r>
        <w:rPr>
          <w:rFonts w:ascii="Times New Roman" w:hAnsi="宋体" w:hint="eastAsia"/>
          <w:sz w:val="24"/>
          <w:szCs w:val="24"/>
          <w:vertAlign w:val="superscript"/>
        </w:rPr>
        <w:t>17</w:t>
      </w:r>
      <w:r>
        <w:rPr>
          <w:rFonts w:ascii="Times New Roman" w:hAnsi="宋体" w:hint="eastAsia"/>
          <w:sz w:val="24"/>
          <w:szCs w:val="24"/>
          <w:vertAlign w:val="superscript"/>
        </w:rPr>
        <w:t xml:space="preserve">, </w:t>
      </w:r>
      <w:r>
        <w:rPr>
          <w:rFonts w:ascii="Times New Roman" w:hAnsi="宋体" w:hint="eastAsia"/>
          <w:sz w:val="24"/>
          <w:szCs w:val="24"/>
          <w:vertAlign w:val="superscript"/>
        </w:rPr>
        <w:t>18</w:t>
      </w:r>
      <w:r>
        <w:rPr>
          <w:rFonts w:ascii="Times New Roman" w:hAnsi="宋体" w:hint="eastAsia"/>
          <w:sz w:val="24"/>
          <w:szCs w:val="24"/>
          <w:vertAlign w:val="superscript"/>
        </w:rPr>
        <w:t>]</w:t>
      </w:r>
      <w:r>
        <w:rPr>
          <w:rFonts w:ascii="Times New Roman" w:hAnsi="宋体" w:hint="eastAsia"/>
          <w:sz w:val="24"/>
          <w:szCs w:val="24"/>
        </w:rPr>
        <w:t xml:space="preserve">, anti-tumor </w:t>
      </w:r>
      <w:r>
        <w:rPr>
          <w:rFonts w:ascii="Times New Roman" w:hAnsi="宋体" w:hint="eastAsia"/>
          <w:sz w:val="24"/>
          <w:szCs w:val="24"/>
          <w:vertAlign w:val="superscript"/>
        </w:rPr>
        <w:t>[</w:t>
      </w:r>
      <w:r>
        <w:rPr>
          <w:rFonts w:ascii="Times New Roman" w:hAnsi="宋体" w:hint="eastAsia"/>
          <w:sz w:val="24"/>
          <w:szCs w:val="24"/>
          <w:vertAlign w:val="superscript"/>
        </w:rPr>
        <w:t>19</w:t>
      </w:r>
      <w:r>
        <w:rPr>
          <w:rFonts w:ascii="Times New Roman" w:hAnsi="宋体" w:hint="eastAsia"/>
          <w:sz w:val="24"/>
          <w:szCs w:val="24"/>
          <w:vertAlign w:val="superscript"/>
        </w:rPr>
        <w:t>]</w:t>
      </w:r>
      <w:r>
        <w:rPr>
          <w:rFonts w:ascii="Times New Roman" w:hAnsi="宋体" w:hint="eastAsia"/>
          <w:sz w:val="24"/>
          <w:szCs w:val="24"/>
        </w:rPr>
        <w:t xml:space="preserve">, and anti-diarrheal </w:t>
      </w:r>
      <w:r>
        <w:rPr>
          <w:rFonts w:ascii="Times New Roman" w:hAnsi="宋体" w:hint="eastAsia"/>
          <w:sz w:val="24"/>
          <w:szCs w:val="24"/>
          <w:vertAlign w:val="superscript"/>
        </w:rPr>
        <w:t>[</w:t>
      </w:r>
      <w:r>
        <w:rPr>
          <w:rFonts w:ascii="Times New Roman" w:hAnsi="宋体" w:hint="eastAsia"/>
          <w:sz w:val="24"/>
          <w:szCs w:val="24"/>
          <w:vertAlign w:val="superscript"/>
        </w:rPr>
        <w:t>20</w:t>
      </w:r>
      <w:r>
        <w:rPr>
          <w:rFonts w:ascii="Times New Roman" w:hAnsi="宋体" w:hint="eastAsia"/>
          <w:sz w:val="24"/>
          <w:szCs w:val="24"/>
          <w:vertAlign w:val="superscript"/>
        </w:rPr>
        <w:t>]</w:t>
      </w:r>
      <w:r>
        <w:rPr>
          <w:rFonts w:ascii="Times New Roman" w:hAnsi="宋体" w:hint="eastAsia"/>
          <w:sz w:val="24"/>
          <w:szCs w:val="24"/>
        </w:rPr>
        <w:t xml:space="preserve"> activities.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Inhibitors of stone formation include multivalent metallic cations (magnesium), macromolecules (glycoproteins, glycosaminoglycans, osteopontin, tamm–horse fall proteins, urine prothrombin fragment-1), small organic anions like citrate, and small inorganic anions like pyrophosphates </w:t>
      </w:r>
      <w:r>
        <w:rPr>
          <w:rFonts w:ascii="Times New Roman" w:hAnsi="宋体" w:hint="eastAsia"/>
          <w:sz w:val="24"/>
          <w:szCs w:val="24"/>
          <w:vertAlign w:val="superscript"/>
        </w:rPr>
        <w:t>[</w:t>
      </w:r>
      <w:r>
        <w:rPr>
          <w:rFonts w:ascii="Times New Roman" w:hAnsi="宋体" w:hint="eastAsia"/>
          <w:sz w:val="24"/>
          <w:szCs w:val="24"/>
          <w:vertAlign w:val="superscript"/>
        </w:rPr>
        <w:t>21</w:t>
      </w:r>
      <w:r>
        <w:rPr>
          <w:rFonts w:ascii="Times New Roman" w:hAnsi="宋体" w:hint="eastAsia"/>
          <w:sz w:val="24"/>
          <w:szCs w:val="24"/>
          <w:vertAlign w:val="superscript"/>
        </w:rPr>
        <w:t xml:space="preserve">, </w:t>
      </w:r>
      <w:r>
        <w:rPr>
          <w:rFonts w:ascii="Times New Roman" w:hAnsi="宋体" w:hint="eastAsia"/>
          <w:sz w:val="24"/>
          <w:szCs w:val="24"/>
          <w:vertAlign w:val="superscript"/>
        </w:rPr>
        <w:t>22</w:t>
      </w:r>
      <w:r>
        <w:rPr>
          <w:rFonts w:ascii="Times New Roman" w:hAnsi="宋体" w:hint="eastAsia"/>
          <w:sz w:val="24"/>
          <w:szCs w:val="24"/>
          <w:vertAlign w:val="superscript"/>
        </w:rPr>
        <w:t>]</w:t>
      </w:r>
      <w:r>
        <w:rPr>
          <w:rFonts w:ascii="Times New Roman" w:hAnsi="宋体" w:hint="eastAsia"/>
          <w:sz w:val="24"/>
          <w:szCs w:val="24"/>
        </w:rPr>
        <w:t xml:space="preserve">. Several promoters incorporate cell membrane lipids (cholesterol, glycolipids, and phospholipids) </w:t>
      </w:r>
      <w:r>
        <w:rPr>
          <w:rFonts w:ascii="Times New Roman" w:hAnsi="宋体" w:hint="eastAsia"/>
          <w:sz w:val="24"/>
          <w:szCs w:val="24"/>
          <w:vertAlign w:val="superscript"/>
        </w:rPr>
        <w:t>[</w:t>
      </w:r>
      <w:r>
        <w:rPr>
          <w:rFonts w:ascii="Times New Roman" w:hAnsi="宋体" w:hint="eastAsia"/>
          <w:sz w:val="24"/>
          <w:szCs w:val="24"/>
          <w:vertAlign w:val="superscript"/>
        </w:rPr>
        <w:t>23</w:t>
      </w:r>
      <w:r>
        <w:rPr>
          <w:rFonts w:ascii="Times New Roman" w:hAnsi="宋体" w:hint="eastAsia"/>
          <w:sz w:val="24"/>
          <w:szCs w:val="24"/>
          <w:vertAlign w:val="superscript"/>
        </w:rPr>
        <w:t>]</w:t>
      </w:r>
      <w:r>
        <w:rPr>
          <w:rFonts w:ascii="Times New Roman" w:hAnsi="宋体" w:hint="eastAsia"/>
          <w:sz w:val="24"/>
          <w:szCs w:val="24"/>
        </w:rPr>
        <w:t xml:space="preserve">. Parathyroid hormone stimulation leads to the enhancement of calcitriol hormone and increase in stone formation </w:t>
      </w:r>
      <w:r>
        <w:rPr>
          <w:rFonts w:ascii="Times New Roman" w:hAnsi="宋体" w:hint="eastAsia"/>
          <w:sz w:val="24"/>
          <w:szCs w:val="24"/>
          <w:vertAlign w:val="superscript"/>
        </w:rPr>
        <w:t>[</w:t>
      </w:r>
      <w:r>
        <w:rPr>
          <w:rFonts w:ascii="Times New Roman" w:hAnsi="宋体" w:hint="eastAsia"/>
          <w:sz w:val="24"/>
          <w:szCs w:val="24"/>
          <w:vertAlign w:val="superscript"/>
        </w:rPr>
        <w:t>24</w:t>
      </w:r>
      <w:r>
        <w:rPr>
          <w:rFonts w:ascii="Times New Roman" w:hAnsi="宋体" w:hint="eastAsia"/>
          <w:sz w:val="24"/>
          <w:szCs w:val="24"/>
          <w:vertAlign w:val="superscript"/>
        </w:rPr>
        <w:t>]</w:t>
      </w:r>
      <w:r>
        <w:rPr>
          <w:rFonts w:ascii="Times New Roman" w:hAnsi="宋体" w:hint="eastAsia"/>
          <w:sz w:val="24"/>
          <w:szCs w:val="24"/>
        </w:rPr>
        <w:t xml:space="preserve">. The risk of stone formation is increased by high sodium intake, which leads to delayed calcium reabsorption in the renal tubules and promotes high calcium levels in the urine </w:t>
      </w:r>
      <w:r>
        <w:rPr>
          <w:rFonts w:ascii="Times New Roman" w:hAnsi="宋体" w:hint="eastAsia"/>
          <w:sz w:val="24"/>
          <w:szCs w:val="24"/>
          <w:vertAlign w:val="superscript"/>
        </w:rPr>
        <w:t>[</w:t>
      </w:r>
      <w:r>
        <w:rPr>
          <w:rFonts w:ascii="Times New Roman" w:hAnsi="宋体" w:hint="eastAsia"/>
          <w:sz w:val="24"/>
          <w:szCs w:val="24"/>
          <w:vertAlign w:val="superscript"/>
        </w:rPr>
        <w:t>25</w:t>
      </w:r>
      <w:r>
        <w:rPr>
          <w:rFonts w:ascii="Times New Roman" w:hAnsi="宋体" w:hint="eastAsia"/>
          <w:sz w:val="24"/>
          <w:szCs w:val="24"/>
          <w:vertAlign w:val="superscript"/>
        </w:rPr>
        <w:t>]</w:t>
      </w:r>
      <w:r>
        <w:rPr>
          <w:rFonts w:ascii="Times New Roman" w:hAnsi="宋体" w:hint="eastAsia"/>
          <w:sz w:val="24"/>
          <w:szCs w:val="24"/>
        </w:rPr>
        <w:t xml:space="preserve">. A high protein intake decreases urine pH value and citrate levels, thereby enhancing the excretion of calcium in urine through bone resorption. To avoid acidic urine formation, higher risk of urine formation, one must eat less fish, meat, and poultry, and avoid vitamin D rich foods </w:t>
      </w:r>
      <w:r>
        <w:rPr>
          <w:rFonts w:ascii="Times New Roman" w:hAnsi="宋体" w:hint="eastAsia"/>
          <w:sz w:val="24"/>
          <w:szCs w:val="24"/>
          <w:vertAlign w:val="superscript"/>
        </w:rPr>
        <w:t>[</w:t>
      </w:r>
      <w:r>
        <w:rPr>
          <w:rFonts w:ascii="Times New Roman" w:hAnsi="宋体" w:hint="eastAsia"/>
          <w:sz w:val="24"/>
          <w:szCs w:val="24"/>
          <w:vertAlign w:val="superscript"/>
        </w:rPr>
        <w:t>26</w:t>
      </w:r>
      <w:r>
        <w:rPr>
          <w:rFonts w:ascii="Times New Roman" w:hAnsi="宋体" w:hint="eastAsia"/>
          <w:sz w:val="24"/>
          <w:szCs w:val="24"/>
          <w:vertAlign w:val="superscript"/>
        </w:rPr>
        <w:t>]</w:t>
      </w:r>
      <w:r>
        <w:rPr>
          <w:rFonts w:ascii="Times New Roman" w:hAnsi="宋体" w:hint="eastAsia"/>
          <w:sz w:val="24"/>
          <w:szCs w:val="24"/>
        </w:rPr>
        <w:t xml:space="preserve">. Alternatively, an increased consumption of potassium-rich fruits and vegetables is suggested for wellbeing </w:t>
      </w:r>
      <w:r>
        <w:rPr>
          <w:rFonts w:ascii="Times New Roman" w:hAnsi="宋体" w:hint="eastAsia"/>
          <w:sz w:val="24"/>
          <w:szCs w:val="24"/>
          <w:vertAlign w:val="superscript"/>
        </w:rPr>
        <w:t>[</w:t>
      </w:r>
      <w:r>
        <w:rPr>
          <w:rFonts w:ascii="Times New Roman" w:hAnsi="宋体" w:hint="eastAsia"/>
          <w:sz w:val="24"/>
          <w:szCs w:val="24"/>
          <w:vertAlign w:val="superscript"/>
        </w:rPr>
        <w:t>27</w:t>
      </w:r>
      <w:r>
        <w:rPr>
          <w:rFonts w:ascii="Times New Roman" w:hAnsi="宋体" w:hint="eastAsia"/>
          <w:sz w:val="24"/>
          <w:szCs w:val="24"/>
          <w:vertAlign w:val="superscript"/>
        </w:rPr>
        <w:t>]</w:t>
      </w:r>
      <w:r>
        <w:rPr>
          <w:rFonts w:ascii="Times New Roman" w:hAnsi="宋体" w:hint="eastAsia"/>
          <w:sz w:val="24"/>
          <w:szCs w:val="24"/>
        </w:rPr>
        <w:t xml:space="preserve">. </w:t>
      </w:r>
      <w:r>
        <w:rPr>
          <w:rFonts w:ascii="Times New Roman" w:hAnsi="宋体" w:hint="eastAsia"/>
          <w:i w:val="true"/>
          <w:sz w:val="24"/>
          <w:szCs w:val="24"/>
        </w:rPr>
        <w:t>Aerva  lanata</w:t>
      </w:r>
      <w:r>
        <w:rPr>
          <w:rFonts w:ascii="Times New Roman" w:hAnsi="宋体" w:hint="eastAsia"/>
          <w:sz w:val="24"/>
          <w:szCs w:val="24"/>
        </w:rPr>
        <w:t xml:space="preserve"> (L.) belongs to the family </w:t>
      </w:r>
      <w:r>
        <w:rPr>
          <w:rFonts w:ascii="Times New Roman" w:hAnsi="宋体" w:hint="eastAsia"/>
          <w:i w:val="true"/>
          <w:sz w:val="24"/>
          <w:szCs w:val="24"/>
        </w:rPr>
        <w:t>Amaranthaceae</w:t>
      </w:r>
      <w:r>
        <w:rPr>
          <w:rFonts w:ascii="Times New Roman" w:hAnsi="宋体" w:hint="eastAsia"/>
          <w:sz w:val="24"/>
          <w:szCs w:val="24"/>
        </w:rPr>
        <w:t xml:space="preserve"> and has various traditional uses, including the treatment of hemorrhage arrest during pregnancy </w:t>
      </w:r>
      <w:r>
        <w:rPr>
          <w:rFonts w:ascii="Times New Roman" w:hAnsi="宋体" w:hint="eastAsia"/>
          <w:sz w:val="24"/>
          <w:szCs w:val="24"/>
          <w:vertAlign w:val="superscript"/>
        </w:rPr>
        <w:t>[</w:t>
      </w:r>
      <w:r>
        <w:rPr>
          <w:rFonts w:ascii="Times New Roman" w:hAnsi="宋体" w:hint="eastAsia"/>
          <w:sz w:val="24"/>
          <w:szCs w:val="24"/>
          <w:vertAlign w:val="superscript"/>
        </w:rPr>
        <w:t>28</w:t>
      </w:r>
      <w:r>
        <w:rPr>
          <w:rFonts w:ascii="Times New Roman" w:hAnsi="宋体" w:hint="eastAsia"/>
          <w:sz w:val="24"/>
          <w:szCs w:val="24"/>
          <w:vertAlign w:val="superscript"/>
        </w:rPr>
        <w:t>]</w:t>
      </w:r>
      <w:r>
        <w:rPr>
          <w:rFonts w:ascii="Times New Roman" w:hAnsi="宋体" w:hint="eastAsia"/>
          <w:sz w:val="24"/>
          <w:szCs w:val="24"/>
        </w:rPr>
        <w:t>, healing of burns</w:t>
      </w:r>
      <w:r>
        <w:rPr>
          <w:rFonts w:ascii="Times New Roman" w:hAnsi="宋体" w:hint="eastAsia"/>
          <w:sz w:val="24"/>
          <w:szCs w:val="24"/>
          <w:vertAlign w:val="superscript"/>
        </w:rPr>
        <w:t xml:space="preserve"> [</w:t>
      </w:r>
      <w:r>
        <w:rPr>
          <w:rFonts w:ascii="Times New Roman" w:hAnsi="宋体" w:hint="eastAsia"/>
          <w:sz w:val="24"/>
          <w:szCs w:val="24"/>
          <w:vertAlign w:val="superscript"/>
        </w:rPr>
        <w:t>29</w:t>
      </w:r>
      <w:r>
        <w:rPr>
          <w:rFonts w:ascii="Times New Roman" w:hAnsi="宋体" w:hint="eastAsia"/>
          <w:sz w:val="24"/>
          <w:szCs w:val="24"/>
          <w:vertAlign w:val="superscript"/>
        </w:rPr>
        <w:t>]</w:t>
      </w:r>
      <w:r>
        <w:rPr>
          <w:rFonts w:ascii="Times New Roman" w:hAnsi="宋体" w:hint="eastAsia"/>
          <w:sz w:val="24"/>
          <w:szCs w:val="24"/>
        </w:rPr>
        <w:t xml:space="preserve">, inflammation </w:t>
      </w:r>
      <w:r>
        <w:rPr>
          <w:rFonts w:ascii="Times New Roman" w:hAnsi="宋体" w:hint="eastAsia"/>
          <w:sz w:val="24"/>
          <w:szCs w:val="24"/>
          <w:vertAlign w:val="superscript"/>
        </w:rPr>
        <w:t>[</w:t>
      </w:r>
      <w:r>
        <w:rPr>
          <w:rFonts w:ascii="Times New Roman" w:hAnsi="宋体" w:hint="eastAsia"/>
          <w:sz w:val="24"/>
          <w:szCs w:val="24"/>
          <w:vertAlign w:val="superscript"/>
        </w:rPr>
        <w:t>30</w:t>
      </w:r>
      <w:r>
        <w:rPr>
          <w:rFonts w:ascii="Times New Roman" w:hAnsi="宋体" w:hint="eastAsia"/>
          <w:sz w:val="24"/>
          <w:szCs w:val="24"/>
          <w:vertAlign w:val="superscript"/>
        </w:rPr>
        <w:t>]</w:t>
      </w:r>
      <w:r>
        <w:rPr>
          <w:rFonts w:ascii="Times New Roman" w:hAnsi="宋体" w:hint="eastAsia"/>
          <w:sz w:val="24"/>
          <w:szCs w:val="24"/>
        </w:rPr>
        <w:t xml:space="preserve">, nasal bleeding </w:t>
      </w:r>
      <w:r>
        <w:rPr>
          <w:rFonts w:ascii="Times New Roman" w:hAnsi="宋体" w:hint="eastAsia"/>
          <w:sz w:val="24"/>
          <w:szCs w:val="24"/>
          <w:vertAlign w:val="superscript"/>
        </w:rPr>
        <w:t>[</w:t>
      </w:r>
      <w:r>
        <w:rPr>
          <w:rFonts w:ascii="Times New Roman" w:hAnsi="宋体" w:hint="eastAsia"/>
          <w:sz w:val="24"/>
          <w:szCs w:val="24"/>
          <w:vertAlign w:val="superscript"/>
        </w:rPr>
        <w:t>31</w:t>
      </w:r>
      <w:r>
        <w:rPr>
          <w:rFonts w:ascii="Times New Roman" w:hAnsi="宋体" w:hint="eastAsia"/>
          <w:sz w:val="24"/>
          <w:szCs w:val="24"/>
          <w:vertAlign w:val="superscript"/>
        </w:rPr>
        <w:t>]</w:t>
      </w:r>
      <w:r>
        <w:rPr>
          <w:rFonts w:ascii="Times New Roman" w:hAnsi="宋体" w:hint="eastAsia"/>
          <w:sz w:val="24"/>
          <w:szCs w:val="24"/>
        </w:rPr>
        <w:t xml:space="preserve">, cough </w:t>
      </w:r>
      <w:r>
        <w:rPr>
          <w:rFonts w:ascii="Times New Roman" w:hAnsi="宋体" w:hint="eastAsia"/>
          <w:sz w:val="24"/>
          <w:szCs w:val="24"/>
          <w:vertAlign w:val="superscript"/>
        </w:rPr>
        <w:t>[</w:t>
      </w:r>
      <w:r>
        <w:rPr>
          <w:rFonts w:ascii="Times New Roman" w:hAnsi="宋体" w:hint="eastAsia"/>
          <w:sz w:val="24"/>
          <w:szCs w:val="24"/>
          <w:vertAlign w:val="superscript"/>
        </w:rPr>
        <w:t>32</w:t>
      </w:r>
      <w:r>
        <w:rPr>
          <w:rFonts w:ascii="Times New Roman" w:hAnsi="宋体" w:hint="eastAsia"/>
          <w:sz w:val="24"/>
          <w:szCs w:val="24"/>
          <w:vertAlign w:val="superscript"/>
        </w:rPr>
        <w:t>]</w:t>
      </w:r>
      <w:r>
        <w:rPr>
          <w:rFonts w:ascii="Times New Roman" w:hAnsi="宋体" w:hint="eastAsia"/>
          <w:sz w:val="24"/>
          <w:szCs w:val="24"/>
        </w:rPr>
        <w:t xml:space="preserve">, scorpion stings </w:t>
      </w:r>
      <w:r>
        <w:rPr>
          <w:rFonts w:ascii="Times New Roman" w:hAnsi="宋体" w:hint="eastAsia"/>
          <w:sz w:val="24"/>
          <w:szCs w:val="24"/>
          <w:vertAlign w:val="superscript"/>
        </w:rPr>
        <w:t>[</w:t>
      </w:r>
      <w:r>
        <w:rPr>
          <w:rFonts w:ascii="Times New Roman" w:hAnsi="宋体" w:hint="eastAsia"/>
          <w:sz w:val="24"/>
          <w:szCs w:val="24"/>
          <w:vertAlign w:val="superscript"/>
        </w:rPr>
        <w:t>33</w:t>
      </w:r>
      <w:r>
        <w:rPr>
          <w:rFonts w:ascii="Times New Roman" w:hAnsi="宋体" w:hint="eastAsia"/>
          <w:sz w:val="24"/>
          <w:szCs w:val="24"/>
          <w:vertAlign w:val="superscript"/>
        </w:rPr>
        <w:t>]</w:t>
      </w:r>
      <w:r>
        <w:rPr>
          <w:rFonts w:ascii="Times New Roman" w:hAnsi="宋体" w:hint="eastAsia"/>
          <w:sz w:val="24"/>
          <w:szCs w:val="24"/>
        </w:rPr>
        <w:t>, diarrhea</w:t>
      </w:r>
      <w:r>
        <w:rPr>
          <w:rFonts w:ascii="Times New Roman" w:hAnsi="宋体" w:hint="eastAsia"/>
          <w:sz w:val="24"/>
          <w:szCs w:val="24"/>
          <w:vertAlign w:val="superscript"/>
        </w:rPr>
        <w:t xml:space="preserve"> [</w:t>
      </w:r>
      <w:r>
        <w:rPr>
          <w:rFonts w:ascii="Times New Roman" w:hAnsi="宋体" w:hint="eastAsia"/>
          <w:sz w:val="24"/>
          <w:szCs w:val="24"/>
          <w:vertAlign w:val="superscript"/>
        </w:rPr>
        <w:t>34</w:t>
      </w:r>
      <w:r>
        <w:rPr>
          <w:rFonts w:ascii="Times New Roman" w:hAnsi="宋体" w:hint="eastAsia"/>
          <w:sz w:val="24"/>
          <w:szCs w:val="24"/>
          <w:vertAlign w:val="superscript"/>
        </w:rPr>
        <w:t>]</w:t>
      </w:r>
      <w:r>
        <w:rPr>
          <w:rFonts w:ascii="Times New Roman" w:hAnsi="宋体" w:hint="eastAsia"/>
          <w:sz w:val="24"/>
          <w:szCs w:val="24"/>
        </w:rPr>
        <w:t xml:space="preserve">, fractures and spermatorrhoea </w:t>
      </w:r>
      <w:r>
        <w:rPr>
          <w:rFonts w:ascii="Times New Roman" w:hAnsi="宋体" w:hint="eastAsia"/>
          <w:sz w:val="24"/>
          <w:szCs w:val="24"/>
          <w:vertAlign w:val="superscript"/>
        </w:rPr>
        <w:t>[</w:t>
      </w:r>
      <w:r>
        <w:rPr>
          <w:rFonts w:ascii="Times New Roman" w:hAnsi="宋体" w:hint="eastAsia"/>
          <w:sz w:val="24"/>
          <w:szCs w:val="24"/>
          <w:vertAlign w:val="superscript"/>
        </w:rPr>
        <w:t>35</w:t>
      </w:r>
      <w:r>
        <w:rPr>
          <w:rFonts w:ascii="Times New Roman" w:hAnsi="宋体" w:hint="eastAsia"/>
          <w:sz w:val="24"/>
          <w:szCs w:val="24"/>
          <w:vertAlign w:val="superscript"/>
        </w:rPr>
        <w:t>]</w:t>
      </w:r>
      <w:r>
        <w:rPr>
          <w:rFonts w:ascii="Times New Roman" w:hAnsi="宋体" w:hint="eastAsia"/>
          <w:sz w:val="24"/>
          <w:szCs w:val="24"/>
        </w:rPr>
        <w:t xml:space="preserve">, dysentery </w:t>
      </w:r>
      <w:r>
        <w:rPr>
          <w:rFonts w:ascii="Times New Roman" w:hAnsi="宋体" w:hint="eastAsia"/>
          <w:sz w:val="24"/>
          <w:szCs w:val="24"/>
          <w:vertAlign w:val="superscript"/>
        </w:rPr>
        <w:t>[</w:t>
      </w:r>
      <w:r>
        <w:rPr>
          <w:rFonts w:ascii="Times New Roman" w:hAnsi="宋体" w:hint="eastAsia"/>
          <w:sz w:val="24"/>
          <w:szCs w:val="24"/>
          <w:vertAlign w:val="superscript"/>
        </w:rPr>
        <w:t>36</w:t>
      </w:r>
      <w:r>
        <w:rPr>
          <w:rFonts w:ascii="Times New Roman" w:hAnsi="宋体" w:hint="eastAsia"/>
          <w:sz w:val="24"/>
          <w:szCs w:val="24"/>
          <w:vertAlign w:val="superscript"/>
        </w:rPr>
        <w:t>]</w:t>
      </w:r>
      <w:r>
        <w:rPr>
          <w:rFonts w:ascii="Times New Roman" w:hAnsi="宋体" w:hint="eastAsia"/>
          <w:sz w:val="24"/>
          <w:szCs w:val="24"/>
        </w:rPr>
        <w:t>, and bronchitis</w:t>
      </w:r>
      <w:r>
        <w:rPr>
          <w:rFonts w:ascii="Times New Roman" w:hAnsi="宋体" w:hint="eastAsia"/>
          <w:sz w:val="24"/>
          <w:szCs w:val="24"/>
          <w:vertAlign w:val="superscript"/>
        </w:rPr>
        <w:t xml:space="preserve"> [</w:t>
      </w:r>
      <w:r>
        <w:rPr>
          <w:rFonts w:ascii="Times New Roman" w:hAnsi="宋体" w:hint="eastAsia"/>
          <w:sz w:val="24"/>
          <w:szCs w:val="24"/>
          <w:vertAlign w:val="superscript"/>
        </w:rPr>
        <w:t>37</w:t>
      </w:r>
      <w:r>
        <w:rPr>
          <w:rFonts w:ascii="Times New Roman" w:hAnsi="宋体" w:hint="eastAsia"/>
          <w:sz w:val="24"/>
          <w:szCs w:val="24"/>
          <w:vertAlign w:val="superscript"/>
        </w:rPr>
        <w:t>]</w:t>
      </w:r>
      <w:r>
        <w:rPr>
          <w:rFonts w:ascii="Times New Roman" w:hAnsi="宋体" w:hint="eastAsia"/>
          <w:sz w:val="24"/>
          <w:szCs w:val="24"/>
        </w:rPr>
        <w:t xml:space="preserve">. Here, we sought to determine whether </w:t>
      </w:r>
      <w:r>
        <w:rPr>
          <w:rFonts w:ascii="Times New Roman" w:hAnsi="宋体" w:hint="eastAsia"/>
          <w:i w:val="true"/>
          <w:sz w:val="24"/>
          <w:szCs w:val="24"/>
        </w:rPr>
        <w:t>Aerva lanata</w:t>
      </w:r>
      <w:r>
        <w:rPr>
          <w:rFonts w:ascii="Times New Roman" w:hAnsi="宋体" w:hint="eastAsia"/>
          <w:sz w:val="24"/>
          <w:szCs w:val="24"/>
        </w:rPr>
        <w:t xml:space="preserve"> (L.) root extract could prevent kidney stone formation. To achieve that aim, we examined the capacity of this formulation to reduce oxalate stone formation in male Wistar albino rats chronically exposed to ethylene glycol, which induces oxalate precipitation.</w:t>
      </w:r>
    </w:p>
    <w:p>
      <w:pPr>
        <w:spacing w:before="156" w:beforeLines="50" w:line="360" w:lineRule="auto"/>
        <w:jc w:val="left"/>
        <w:rPr>
          <w:rFonts w:ascii="Times New Roman" w:hAnsi="宋体"/>
          <w:sz w:val="24"/>
          <w:szCs w:val="24"/>
        </w:rPr>
      </w:pPr>
      <w:r>
        <w:rPr>
          <w:rFonts w:ascii="Times New Roman" w:hAnsi="宋体" w:hint="eastAsia"/>
          <w:b/>
          <w:sz w:val="32"/>
          <w:szCs w:val="32"/>
        </w:rPr>
        <w:t>2  Materials and methods</w:t>
      </w:r>
    </w:p>
    <w:p>
      <w:pPr>
        <w:spacing w:before="156" w:beforeLines="50" w:line="360" w:lineRule="auto"/>
        <w:jc w:val="left"/>
        <w:rPr>
          <w:rFonts w:ascii="Times New Roman" w:hAnsi="宋体"/>
          <w:sz w:val="24"/>
          <w:szCs w:val="24"/>
        </w:rPr>
      </w:pPr>
      <w:r>
        <w:rPr>
          <w:rFonts w:ascii="Times New Roman" w:hAnsi="宋体" w:hint="eastAsia"/>
          <w:b/>
          <w:sz w:val="26"/>
          <w:szCs w:val="32"/>
        </w:rPr>
        <w:t xml:space="preserve">2.1  Identification, collection, and extraction of </w:t>
      </w:r>
      <w:r>
        <w:rPr>
          <w:rFonts w:ascii="Times New Roman" w:hAnsi="宋体" w:hint="eastAsia"/>
          <w:b/>
          <w:i w:val="true"/>
          <w:sz w:val="26"/>
          <w:szCs w:val="32"/>
        </w:rPr>
        <w:t>Aerva lanata</w:t>
      </w:r>
      <w:r>
        <w:rPr>
          <w:rFonts w:ascii="Times New Roman" w:hAnsi="宋体" w:hint="eastAsia"/>
          <w:b/>
          <w:sz w:val="26"/>
          <w:szCs w:val="32"/>
        </w:rPr>
        <w:t xml:space="preserve"> (L.)</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whole </w:t>
      </w:r>
      <w:r>
        <w:rPr>
          <w:rFonts w:ascii="Times New Roman" w:hAnsi="宋体" w:hint="eastAsia"/>
          <w:i w:val="true"/>
          <w:sz w:val="24"/>
          <w:szCs w:val="24"/>
        </w:rPr>
        <w:t>Aerva lanata</w:t>
      </w:r>
      <w:r>
        <w:rPr>
          <w:rFonts w:ascii="Times New Roman" w:hAnsi="宋体" w:hint="eastAsia"/>
          <w:sz w:val="24"/>
          <w:szCs w:val="24"/>
        </w:rPr>
        <w:t xml:space="preserve"> (L.) plant was procured from Kochi, Kerala, India. The roots were identified by Professor P. Jayaraman, Ph.D., from the Plant Anatomy and Research Center located at Sakthi Nagar, West Tambaram, Chennai, India. The authentication ID is PARC/2019/4131. Fifty grams of the </w:t>
      </w:r>
      <w:r>
        <w:rPr>
          <w:rFonts w:ascii="Times New Roman" w:hAnsi="宋体" w:hint="eastAsia"/>
          <w:i w:val="true"/>
          <w:sz w:val="24"/>
          <w:szCs w:val="24"/>
        </w:rPr>
        <w:t>Aerva lanata</w:t>
      </w:r>
      <w:r>
        <w:rPr>
          <w:rFonts w:ascii="Times New Roman" w:hAnsi="宋体" w:hint="eastAsia"/>
          <w:sz w:val="24"/>
          <w:szCs w:val="24"/>
        </w:rPr>
        <w:t xml:space="preserve"> (L.) root was shade dried, finely powdered, and then subjected to extraction by a maceration process with 300 mL of ethanol and distilled water in a ratio of 3∶1, yielding the extract of </w:t>
      </w:r>
      <w:r>
        <w:rPr>
          <w:rFonts w:ascii="Times New Roman" w:hAnsi="宋体" w:hint="eastAsia"/>
          <w:i w:val="true"/>
          <w:sz w:val="24"/>
          <w:szCs w:val="24"/>
        </w:rPr>
        <w:t>Aerva lanata</w:t>
      </w:r>
      <w:r>
        <w:rPr>
          <w:rFonts w:ascii="Times New Roman" w:hAnsi="宋体" w:hint="eastAsia"/>
          <w:sz w:val="24"/>
          <w:szCs w:val="24"/>
        </w:rPr>
        <w:t xml:space="preserve"> (L.) root named HAEAL. After extraction, the solute was strained and vaporized via rotary evaporation at 35 °C </w:t>
      </w:r>
      <w:r>
        <w:rPr>
          <w:rFonts w:ascii="Times New Roman" w:hAnsi="宋体" w:hint="eastAsia"/>
          <w:sz w:val="24"/>
          <w:szCs w:val="24"/>
          <w:vertAlign w:val="superscript"/>
        </w:rPr>
        <w:t>[</w:t>
      </w:r>
      <w:r>
        <w:rPr>
          <w:rFonts w:ascii="Times New Roman" w:hAnsi="宋体" w:hint="eastAsia"/>
          <w:sz w:val="24"/>
          <w:szCs w:val="24"/>
          <w:vertAlign w:val="superscript"/>
        </w:rPr>
        <w:t>38</w:t>
      </w:r>
      <w:r>
        <w:rPr>
          <w:rFonts w:ascii="Times New Roman" w:hAnsi="宋体" w:hint="eastAsia"/>
          <w:sz w:val="24"/>
          <w:szCs w:val="24"/>
          <w:vertAlign w:val="superscript"/>
        </w:rPr>
        <w:t>]</w:t>
      </w:r>
      <w:r>
        <w:rPr>
          <w:rFonts w:ascii="Times New Roman" w:hAnsi="宋体" w:hint="eastAsia"/>
          <w:sz w:val="24"/>
          <w:szCs w:val="24"/>
        </w:rPr>
        <w:t>. The concentrated product was reconstituted to prepare a suspension in distilled water before the experiments were commenced. The extract had a hygroscopic nature and was stored in the refrigerator in an air tight glass container for the entire study. The yield was 15% w/w in terms of dried product.</w:t>
      </w:r>
    </w:p>
    <w:p>
      <w:pPr>
        <w:spacing w:before="156" w:beforeLines="50" w:line="360" w:lineRule="auto"/>
        <w:jc w:val="left"/>
        <w:rPr>
          <w:rFonts w:ascii="Times New Roman" w:hAnsi="宋体"/>
          <w:sz w:val="24"/>
          <w:szCs w:val="24"/>
        </w:rPr>
      </w:pPr>
      <w:r>
        <w:rPr>
          <w:rFonts w:ascii="Times New Roman" w:hAnsi="宋体" w:hint="eastAsia"/>
          <w:b/>
          <w:sz w:val="26"/>
          <w:szCs w:val="32"/>
        </w:rPr>
        <w:t>2.2  Preparation and stability parameters of the suspension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100-mesh size fine particles of the plant extract were properly mixed by triturating. After that, the drug was mixed in water with different additives, including Tween-80 (SRL, India), sodium-CMC (SRL, India), flavoring agent (SRL, India), sweetening agent (SRL, India), and sodium benzoate (SRL, India) as a preservative for better stability of the formulation during the shelf-life period. Physical tests including nature, color, odor, and texture were performed on the herbal suspension. Accelerated stability testing was carried out, and sedimentation volume, redispersibility, and rheology (flow rate in milliliter per second) were determined </w:t>
      </w:r>
      <w:r>
        <w:rPr>
          <w:rFonts w:ascii="Times New Roman" w:hAnsi="宋体" w:hint="eastAsia"/>
          <w:sz w:val="24"/>
          <w:szCs w:val="24"/>
          <w:vertAlign w:val="superscript"/>
        </w:rPr>
        <w:t>[</w:t>
      </w:r>
      <w:r>
        <w:rPr>
          <w:rFonts w:ascii="Times New Roman" w:hAnsi="宋体" w:hint="eastAsia"/>
          <w:sz w:val="24"/>
          <w:szCs w:val="24"/>
          <w:vertAlign w:val="superscript"/>
        </w:rPr>
        <w:t>39</w:t>
      </w:r>
      <w:r>
        <w:rPr>
          <w:rFonts w:ascii="Times New Roman" w:hAnsi="宋体" w:hint="eastAsia"/>
          <w:sz w:val="24"/>
          <w:szCs w:val="24"/>
          <w:vertAlign w:val="superscript"/>
        </w:rPr>
        <w:t>]</w:t>
      </w:r>
      <w:r>
        <w:rPr>
          <w:rFonts w:ascii="Times New Roman" w:hAnsi="宋体" w:hint="eastAsia"/>
          <w:sz w:val="24"/>
          <w:szCs w:val="24"/>
        </w:rPr>
        <w:t>. The viscosity was measured using a Brookfield viscometer at 50 rpm, the pH value of the suspension was measured using a pH meter, and crystal growth was observed for changes in appearance and stability. The concentration of the suspension used was 2 g/mL.</w:t>
      </w:r>
    </w:p>
    <w:p>
      <w:pPr>
        <w:spacing w:before="156" w:beforeLines="50" w:line="360" w:lineRule="auto"/>
        <w:jc w:val="left"/>
        <w:rPr>
          <w:rFonts w:ascii="Times New Roman" w:hAnsi="宋体"/>
          <w:sz w:val="24"/>
          <w:szCs w:val="24"/>
        </w:rPr>
      </w:pPr>
      <w:r>
        <w:rPr>
          <w:rFonts w:ascii="Times New Roman" w:hAnsi="宋体" w:hint="eastAsia"/>
          <w:b/>
          <w:sz w:val="26"/>
          <w:szCs w:val="32"/>
        </w:rPr>
        <w:t>2.3  Preliminary phytochemical study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Phytochemical constituents in HAEAL were identified using a standard method </w:t>
      </w:r>
      <w:r>
        <w:rPr>
          <w:rFonts w:ascii="Times New Roman" w:hAnsi="宋体" w:hint="eastAsia"/>
          <w:sz w:val="24"/>
          <w:szCs w:val="24"/>
          <w:vertAlign w:val="superscript"/>
        </w:rPr>
        <w:t>[</w:t>
      </w:r>
      <w:r>
        <w:rPr>
          <w:rFonts w:ascii="Times New Roman" w:hAnsi="宋体" w:hint="eastAsia"/>
          <w:sz w:val="24"/>
          <w:szCs w:val="24"/>
          <w:vertAlign w:val="superscript"/>
        </w:rPr>
        <w:t>40</w:t>
      </w:r>
      <w:r>
        <w:rPr>
          <w:rFonts w:ascii="Times New Roman" w:hAnsi="宋体" w:hint="eastAsia"/>
          <w:sz w:val="24"/>
          <w:szCs w:val="24"/>
          <w:vertAlign w:val="superscript"/>
        </w:rPr>
        <w:t>]</w:t>
      </w:r>
      <w:r>
        <w:rPr>
          <w:rFonts w:ascii="Times New Roman" w:hAnsi="宋体" w:hint="eastAsia"/>
          <w:sz w:val="24"/>
          <w:szCs w:val="24"/>
        </w:rPr>
        <w:t xml:space="preserve">. Fifty grams of shade-dried coarsely powdered </w:t>
      </w:r>
      <w:r>
        <w:rPr>
          <w:rFonts w:ascii="Times New Roman" w:hAnsi="宋体" w:hint="eastAsia"/>
          <w:i w:val="true"/>
          <w:sz w:val="24"/>
          <w:szCs w:val="24"/>
        </w:rPr>
        <w:t>Aerva lanata</w:t>
      </w:r>
      <w:r>
        <w:rPr>
          <w:rFonts w:ascii="Times New Roman" w:hAnsi="宋体" w:hint="eastAsia"/>
          <w:sz w:val="24"/>
          <w:szCs w:val="24"/>
        </w:rPr>
        <w:t xml:space="preserve"> (L.) root was successively extracted with organic solvents in increasing order of polarity [petroleum ether (60 − 80 °C), chloroform, and ethanol] using a Soxhlet apparatus, and then concentrated. Further hydroalcoholic extraction was carried out, and the extract was subjected to qualitative tests for the identification of plant constituents such as alkaloids, terpenoids, saponins, tannins, carbohydrates or glycosides, phenols, steroids, and flavonoids.</w:t>
      </w:r>
    </w:p>
    <w:p>
      <w:pPr>
        <w:spacing w:before="156" w:beforeLines="50" w:line="360" w:lineRule="auto"/>
        <w:jc w:val="left"/>
        <w:rPr>
          <w:rFonts w:ascii="Times New Roman" w:hAnsi="宋体"/>
          <w:sz w:val="24"/>
          <w:szCs w:val="24"/>
        </w:rPr>
      </w:pPr>
      <w:r>
        <w:rPr>
          <w:rFonts w:ascii="Times New Roman" w:hAnsi="宋体" w:hint="eastAsia"/>
          <w:b/>
          <w:sz w:val="26"/>
          <w:szCs w:val="32"/>
        </w:rPr>
        <w:t xml:space="preserve">2.4  </w:t>
      </w:r>
      <w:r>
        <w:rPr>
          <w:rFonts w:ascii="Times New Roman" w:hAnsi="宋体" w:hint="eastAsia"/>
          <w:b/>
          <w:i w:val="true"/>
          <w:sz w:val="26"/>
          <w:szCs w:val="32"/>
        </w:rPr>
        <w:t>In vitro</w:t>
      </w:r>
      <w:r>
        <w:rPr>
          <w:rFonts w:ascii="Times New Roman" w:hAnsi="宋体" w:hint="eastAsia"/>
          <w:b/>
          <w:sz w:val="26"/>
          <w:szCs w:val="32"/>
        </w:rPr>
        <w:t xml:space="preserve"> assessment of nephrolithiasis</w:t>
      </w:r>
    </w:p>
    <w:p>
      <w:pPr>
        <w:spacing w:before="156" w:beforeLines="50" w:line="360" w:lineRule="auto"/>
        <w:jc w:val="left"/>
        <w:rPr>
          <w:rFonts w:ascii="Times New Roman" w:hAnsi="宋体"/>
          <w:sz w:val="24"/>
          <w:szCs w:val="24"/>
        </w:rPr>
      </w:pPr>
      <w:r>
        <w:rPr>
          <w:rFonts w:ascii="Times New Roman" w:hAnsi="宋体" w:hint="eastAsia"/>
          <w:b/>
          <w:sz w:val="24"/>
          <w:szCs w:val="32"/>
        </w:rPr>
        <w:t>2.4.1  Nucleation assay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 buffer containing Tris (0.05 mol/L) and sodium chloride (0.15 mol/L) at pH 6.5 was used as a medium for 3 mmol/L calcium chloride and 0.5 mol/L sodium oxalate solutions. Both solutions were filtered through a 0.22 µm membrane </w:t>
      </w:r>
      <w:r>
        <w:rPr>
          <w:rFonts w:ascii="Times New Roman" w:hAnsi="宋体" w:hint="eastAsia"/>
          <w:sz w:val="24"/>
          <w:szCs w:val="24"/>
          <w:vertAlign w:val="superscript"/>
        </w:rPr>
        <w:t>[</w:t>
      </w:r>
      <w:r>
        <w:rPr>
          <w:rFonts w:ascii="Times New Roman" w:hAnsi="宋体" w:hint="eastAsia"/>
          <w:sz w:val="24"/>
          <w:szCs w:val="24"/>
          <w:vertAlign w:val="superscript"/>
        </w:rPr>
        <w:t>41</w:t>
      </w:r>
      <w:r>
        <w:rPr>
          <w:rFonts w:ascii="Times New Roman" w:hAnsi="宋体" w:hint="eastAsia"/>
          <w:sz w:val="24"/>
          <w:szCs w:val="24"/>
          <w:vertAlign w:val="superscript"/>
        </w:rPr>
        <w:t>]</w:t>
      </w:r>
      <w:r>
        <w:rPr>
          <w:rFonts w:ascii="Times New Roman" w:hAnsi="宋体" w:hint="eastAsia"/>
          <w:sz w:val="24"/>
          <w:szCs w:val="24"/>
        </w:rPr>
        <w:t>. 33 mL of the calcium chloride solution was mixed with 3.3 mL of the test solution at various concentrations. Then, 33 mL of the sodium oxalate solution was added to initiate crystallization. The final solution was placed in a magnetic stirrer at 800 rpm and 37 °C, and absorbance was monitored at 620 nm at 1 min intervals. Cystone was used as standard to compare the effects of nucleation in the solution.</w:t>
      </w:r>
    </w:p>
    <w:p>
      <w:pPr>
        <w:spacing w:before="156" w:beforeLines="50" w:line="360" w:lineRule="auto"/>
        <w:jc w:val="left"/>
        <w:rPr>
          <w:rFonts w:ascii="Times New Roman" w:hAnsi="宋体"/>
          <w:sz w:val="24"/>
          <w:szCs w:val="24"/>
        </w:rPr>
      </w:pPr>
      <w:r>
        <w:rPr>
          <w:rFonts w:ascii="Times New Roman" w:hAnsi="宋体" w:hint="eastAsia"/>
          <w:b/>
          <w:sz w:val="24"/>
          <w:szCs w:val="32"/>
        </w:rPr>
        <w:t>2.4.2  Calcium oxalate crystal assay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Calcium chloride and sodium oxalate (each at 4 mmol/L) were mixed with 1.5 mL of 90 mmol/L sodium chloride. Tris HCl buffer (10 mmol/L) at pH 7.2 and 30 µL of a calcium oxalate monohydrate crystal slurry was mixed with 1.5 mg/mL of acetate buffer with pH 6.5. The consumption of oxalate commences immediately; free oxalate ions get depleted and decrease upon addition of the test (HAEAL)  into the solution, and calcium oxalate crystal growth is inhibited by the test (HAEAL) </w:t>
      </w:r>
      <w:r>
        <w:rPr>
          <w:rFonts w:ascii="Times New Roman" w:hAnsi="宋体" w:hint="eastAsia"/>
          <w:sz w:val="24"/>
          <w:szCs w:val="24"/>
          <w:vertAlign w:val="superscript"/>
        </w:rPr>
        <w:t>[</w:t>
      </w:r>
      <w:r>
        <w:rPr>
          <w:rFonts w:ascii="Times New Roman" w:hAnsi="宋体" w:hint="eastAsia"/>
          <w:sz w:val="24"/>
          <w:szCs w:val="24"/>
          <w:vertAlign w:val="superscript"/>
        </w:rPr>
        <w:t>42</w:t>
      </w:r>
      <w:r>
        <w:rPr>
          <w:rFonts w:ascii="Times New Roman" w:hAnsi="宋体" w:hint="eastAsia"/>
          <w:sz w:val="24"/>
          <w:szCs w:val="24"/>
          <w:vertAlign w:val="superscript"/>
        </w:rPr>
        <w:t>]</w:t>
      </w:r>
      <w:r>
        <w:rPr>
          <w:rFonts w:ascii="Times New Roman" w:hAnsi="宋体" w:hint="eastAsia"/>
          <w:sz w:val="24"/>
          <w:szCs w:val="24"/>
        </w:rPr>
        <w:t>. The free oxalate reduction rate is calculated using the baseline value and value for over 30 s after incubation both with and without the test (HAEAL).</w:t>
      </w:r>
    </w:p>
    <w:p>
      <w:pPr>
        <w:spacing w:before="156" w:beforeLines="50" w:line="360" w:lineRule="auto"/>
        <w:jc w:val="left"/>
        <w:rPr>
          <w:rFonts w:ascii="Times New Roman" w:hAnsi="宋体"/>
          <w:sz w:val="24"/>
          <w:szCs w:val="24"/>
        </w:rPr>
      </w:pPr>
      <w:r>
        <w:rPr>
          <w:rFonts w:ascii="Times New Roman" w:hAnsi="宋体" w:hint="eastAsia"/>
          <w:b/>
          <w:sz w:val="24"/>
          <w:szCs w:val="32"/>
        </w:rPr>
        <w:t>2.4.3  Crystal aggregation assay</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Calcium oxalate monohydrate crystals were seeded into 96-well plates (containing saturated aggregation buffer) at various concentrations (20, 40, 60, 80, and 100 μg/mL) </w:t>
      </w:r>
      <w:r>
        <w:rPr>
          <w:rFonts w:ascii="Times New Roman" w:hAnsi="宋体" w:hint="eastAsia"/>
          <w:sz w:val="24"/>
          <w:szCs w:val="24"/>
          <w:vertAlign w:val="superscript"/>
        </w:rPr>
        <w:t>[</w:t>
      </w:r>
      <w:r>
        <w:rPr>
          <w:rFonts w:ascii="Times New Roman" w:hAnsi="宋体" w:hint="eastAsia"/>
          <w:sz w:val="24"/>
          <w:szCs w:val="24"/>
          <w:vertAlign w:val="superscript"/>
        </w:rPr>
        <w:t>43</w:t>
      </w:r>
      <w:r>
        <w:rPr>
          <w:rFonts w:ascii="Times New Roman" w:hAnsi="宋体" w:hint="eastAsia"/>
          <w:sz w:val="24"/>
          <w:szCs w:val="24"/>
          <w:vertAlign w:val="superscript"/>
        </w:rPr>
        <w:t>]</w:t>
      </w:r>
      <w:r>
        <w:rPr>
          <w:rFonts w:ascii="Times New Roman" w:hAnsi="宋体" w:hint="eastAsia"/>
          <w:sz w:val="24"/>
          <w:szCs w:val="24"/>
        </w:rPr>
        <w:t>. The plates were shaken in an incubator at 150 rpm and 25 °C for 1 h. Crystal morphology was imaged using Nikon Inverted Microscope Eclipse Ti-S (Nikon Instruments Inc.). Absorbance was measured at optical density (OD) 620 nm (UV-visible spectrophotometer) and 10 s intervals over 300 s.</w:t>
      </w:r>
    </w:p>
    <w:p>
      <w:pPr>
        <w:spacing w:before="156" w:beforeLines="50" w:line="360" w:lineRule="auto"/>
        <w:jc w:val="left"/>
        <w:rPr>
          <w:rFonts w:ascii="Times New Roman" w:hAnsi="宋体"/>
          <w:sz w:val="24"/>
          <w:szCs w:val="24"/>
        </w:rPr>
      </w:pPr>
      <w:r>
        <w:rPr>
          <w:rFonts w:ascii="Times New Roman" w:hAnsi="宋体" w:hint="eastAsia"/>
          <w:b/>
          <w:sz w:val="26"/>
          <w:szCs w:val="32"/>
        </w:rPr>
        <w:t>2.5  Ethylene glycol-induced nephrolithiasis in Wistar albino rats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Thirty adult male Wistar albino rats were randomly divided into five groups (six rats in each group). The animal experiments were approved by the Institutional Animal Ethics Committee (IAEC) (Approval No. IAEC/216/2019). All rats received standard pellet feed with drinking water ad libitum. HAEAL was prepared and administered orally after kidney stone induction. Group 1: negative control group without induction or treatment till day 28. Group 2: positive control group receiving a daily oral solution of 0.75% ethylene glycol till day 14, and mixed with distilled water till day 28, which induced acidosis, hyperoxaluria and led to pronounced retention in the kidneys as well as oxalate, calcium, and phosphate excretion. Group 3: standard group receiving a daily oral solution of 0.75% ethylene glycol till day 14, and Cystone (750 mg/kg) from day 15 to day 28. Group 4: low dose HAEAL group receiving a daily oral solution of 0.75% ethylene glycol till day 14, and 400 mg/kg HAEAL from day 15 to day 28 (1 mL/rat per day). Group 5: high dose HAEAL group receiving a daily oral solution of 0.75% ethylene glycol till day 14, and 800 mg/kg HAEAL from day 15 to day 28 (1 mL/rat per day). On day 29, the kidneys were dissected, and histopathology was performed to determine parenchyma injury.</w:t>
      </w:r>
    </w:p>
    <w:p>
      <w:pPr>
        <w:spacing w:before="156" w:beforeLines="50" w:line="360" w:lineRule="auto"/>
        <w:jc w:val="left"/>
        <w:rPr>
          <w:rFonts w:ascii="Times New Roman" w:hAnsi="宋体"/>
          <w:sz w:val="24"/>
          <w:szCs w:val="24"/>
        </w:rPr>
      </w:pPr>
      <w:r>
        <w:rPr>
          <w:rFonts w:ascii="Times New Roman" w:hAnsi="宋体" w:hint="eastAsia"/>
          <w:b/>
          <w:sz w:val="26"/>
          <w:szCs w:val="32"/>
        </w:rPr>
        <w:t>2.6  Collection and analysis of urine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analysis of 24 h urine samples was performed by collecting the urine in metabolic cages on days 1, 7, 14, 21, and 28 </w:t>
      </w:r>
      <w:r>
        <w:rPr>
          <w:rFonts w:ascii="Times New Roman" w:hAnsi="宋体" w:hint="eastAsia"/>
          <w:sz w:val="24"/>
          <w:szCs w:val="24"/>
          <w:vertAlign w:val="superscript"/>
        </w:rPr>
        <w:t>[</w:t>
      </w:r>
      <w:r>
        <w:rPr>
          <w:rFonts w:ascii="Times New Roman" w:hAnsi="宋体" w:hint="eastAsia"/>
          <w:sz w:val="24"/>
          <w:szCs w:val="24"/>
          <w:vertAlign w:val="superscript"/>
        </w:rPr>
        <w:t>44</w:t>
      </w:r>
      <w:r>
        <w:rPr>
          <w:rFonts w:ascii="Times New Roman" w:hAnsi="宋体" w:hint="eastAsia"/>
          <w:sz w:val="24"/>
          <w:szCs w:val="24"/>
          <w:vertAlign w:val="superscript"/>
        </w:rPr>
        <w:t>]</w:t>
      </w:r>
      <w:r>
        <w:rPr>
          <w:rFonts w:ascii="Times New Roman" w:hAnsi="宋体" w:hint="eastAsia"/>
          <w:sz w:val="24"/>
          <w:szCs w:val="24"/>
        </w:rPr>
        <w:t>. Before urine collection, rats were provided with water but no feed, and the urine was collected the next day in a 50 mL beaker. Total urinary excretion of calcium, oxalate, and phosphorous was measured, and the remaining of the samples was used for microscopic analysis. The volume and pH value of the urine samples were also measured.</w:t>
      </w:r>
    </w:p>
    <w:p>
      <w:pPr>
        <w:spacing w:before="156" w:beforeLines="50" w:line="360" w:lineRule="auto"/>
        <w:jc w:val="left"/>
        <w:rPr>
          <w:rFonts w:ascii="Times New Roman" w:hAnsi="宋体"/>
          <w:sz w:val="24"/>
          <w:szCs w:val="24"/>
        </w:rPr>
      </w:pPr>
      <w:r>
        <w:rPr>
          <w:rFonts w:ascii="Times New Roman" w:hAnsi="宋体" w:hint="eastAsia"/>
          <w:b/>
          <w:sz w:val="26"/>
          <w:szCs w:val="32"/>
        </w:rPr>
        <w:t>2.7  Collection and analysis of serum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Serum samples were obtained by retro-orbital collection of blood from the eyes of the rats using 5% isoflurane on day 28 </w:t>
      </w:r>
      <w:r>
        <w:rPr>
          <w:rFonts w:ascii="Times New Roman" w:hAnsi="宋体" w:hint="eastAsia"/>
          <w:sz w:val="24"/>
          <w:szCs w:val="24"/>
          <w:vertAlign w:val="superscript"/>
        </w:rPr>
        <w:t>[</w:t>
      </w:r>
      <w:r>
        <w:rPr>
          <w:rFonts w:ascii="Times New Roman" w:hAnsi="宋体" w:hint="eastAsia"/>
          <w:sz w:val="24"/>
          <w:szCs w:val="24"/>
          <w:vertAlign w:val="superscript"/>
        </w:rPr>
        <w:t>45</w:t>
      </w:r>
      <w:r>
        <w:rPr>
          <w:rFonts w:ascii="Times New Roman" w:hAnsi="宋体" w:hint="eastAsia"/>
          <w:sz w:val="24"/>
          <w:szCs w:val="24"/>
          <w:vertAlign w:val="superscript"/>
        </w:rPr>
        <w:t>]</w:t>
      </w:r>
      <w:r>
        <w:rPr>
          <w:rFonts w:ascii="Times New Roman" w:hAnsi="宋体" w:hint="eastAsia"/>
          <w:sz w:val="24"/>
          <w:szCs w:val="24"/>
        </w:rPr>
        <w:t xml:space="preserve">. Rats were later sacrificed by cervical dislocation for histological analysis. The collected blood was placed in a cooling centrifuge at 10 000 rpm for 10 min to separate the serum from the blood, and the samples were labeled accordingly. The serum was placed in a refrigerator for further analysis of creatinine and uric acid levels </w:t>
      </w:r>
      <w:r>
        <w:rPr>
          <w:rFonts w:ascii="Times New Roman" w:hAnsi="宋体" w:hint="eastAsia"/>
          <w:sz w:val="24"/>
          <w:szCs w:val="24"/>
          <w:vertAlign w:val="superscript"/>
        </w:rPr>
        <w:t>[</w:t>
      </w:r>
      <w:r>
        <w:rPr>
          <w:rFonts w:ascii="Times New Roman" w:hAnsi="宋体" w:hint="eastAsia"/>
          <w:sz w:val="24"/>
          <w:szCs w:val="24"/>
          <w:vertAlign w:val="superscript"/>
        </w:rPr>
        <w:t>34</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26"/>
          <w:szCs w:val="32"/>
        </w:rPr>
        <w:t>2.8  Microscopic analysis of urine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Crystalluria analysis was performed using the collected fresh urine samples from each group without the use of any preservatives </w:t>
      </w:r>
      <w:r>
        <w:rPr>
          <w:rFonts w:ascii="Times New Roman" w:hAnsi="宋体" w:hint="eastAsia"/>
          <w:sz w:val="24"/>
          <w:szCs w:val="24"/>
          <w:vertAlign w:val="superscript"/>
        </w:rPr>
        <w:t>[</w:t>
      </w:r>
      <w:r>
        <w:rPr>
          <w:rFonts w:ascii="Times New Roman" w:hAnsi="宋体" w:hint="eastAsia"/>
          <w:sz w:val="24"/>
          <w:szCs w:val="24"/>
          <w:vertAlign w:val="superscript"/>
        </w:rPr>
        <w:t>46</w:t>
      </w:r>
      <w:r>
        <w:rPr>
          <w:rFonts w:ascii="Times New Roman" w:hAnsi="宋体" w:hint="eastAsia"/>
          <w:sz w:val="24"/>
          <w:szCs w:val="24"/>
          <w:vertAlign w:val="superscript"/>
        </w:rPr>
        <w:t>]</w:t>
      </w:r>
      <w:r>
        <w:rPr>
          <w:rFonts w:ascii="Times New Roman" w:hAnsi="宋体" w:hint="eastAsia"/>
          <w:sz w:val="24"/>
          <w:szCs w:val="24"/>
        </w:rPr>
        <w:t>. Microscopic analysis of crystal deposition was performed by adding 1 mL fresh urine samples to the centrifugation chamber at 3 000 rpm for 10 min, and the supernatant layer was discarded promptly. The bottom layer was placed on a slide with a cover slip on the top, and visualized under a light microscope (Siscon Olympus Microscope, CH20i) to identify the type and number of crystals.</w:t>
      </w:r>
    </w:p>
    <w:p>
      <w:pPr>
        <w:spacing w:before="156" w:beforeLines="50" w:line="360" w:lineRule="auto"/>
        <w:jc w:val="left"/>
        <w:rPr>
          <w:rFonts w:ascii="Times New Roman" w:hAnsi="宋体"/>
          <w:sz w:val="24"/>
          <w:szCs w:val="24"/>
        </w:rPr>
      </w:pPr>
      <w:r>
        <w:rPr>
          <w:rFonts w:ascii="Times New Roman" w:hAnsi="宋体" w:hint="eastAsia"/>
          <w:b/>
          <w:sz w:val="26"/>
          <w:szCs w:val="32"/>
        </w:rPr>
        <w:t>2.9  Analysis of HAEAL on urine volume and pH value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fresh samples of urine were collected separately in a metabolic cage of various groups the following day, and the volume was measured for the days 1, 7, 14, 21, and 28, and similarly pH value was also recorded for the urine sample by using pH meter.</w:t>
      </w:r>
    </w:p>
    <w:p>
      <w:pPr>
        <w:spacing w:before="156" w:beforeLines="50" w:line="360" w:lineRule="auto"/>
        <w:jc w:val="left"/>
        <w:rPr>
          <w:rFonts w:ascii="Times New Roman" w:hAnsi="宋体"/>
          <w:sz w:val="24"/>
          <w:szCs w:val="24"/>
        </w:rPr>
      </w:pPr>
      <w:r>
        <w:rPr>
          <w:rFonts w:ascii="Times New Roman" w:hAnsi="宋体" w:hint="eastAsia"/>
          <w:b/>
          <w:sz w:val="26"/>
          <w:szCs w:val="32"/>
        </w:rPr>
        <w:t>2.10  Analysis of HAEAL on body weight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Rats were weighed on the same days of urine sample collection. In addition to the standard feed and water provided, a multivitamin syrup (Zincovit) purchased from apex India was administered to the animals to withstand the given dose of extract and maintain proper body weight. Any changes in body weight were recorded promptly from day 1 to day 28, and the health of the animals was monitored </w:t>
      </w:r>
      <w:r>
        <w:rPr>
          <w:rFonts w:ascii="Times New Roman" w:hAnsi="宋体" w:hint="eastAsia"/>
          <w:sz w:val="24"/>
          <w:szCs w:val="24"/>
          <w:vertAlign w:val="superscript"/>
        </w:rPr>
        <w:t>[</w:t>
      </w:r>
      <w:r>
        <w:rPr>
          <w:rFonts w:ascii="Times New Roman" w:hAnsi="宋体" w:hint="eastAsia"/>
          <w:sz w:val="24"/>
          <w:szCs w:val="24"/>
          <w:vertAlign w:val="superscript"/>
        </w:rPr>
        <w:t>47</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26"/>
          <w:szCs w:val="32"/>
        </w:rPr>
        <w:t>2.11  Histopathological analysis of kidneys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Rats were given anesthesia, and sacrificed by an incision on their abdomen, and both kidneys were located and removed on day 29. The isolated kidneys were cleaned to remove the fatty deposits, and rinsed with a cold solution of normal saline </w:t>
      </w:r>
      <w:r>
        <w:rPr>
          <w:rFonts w:ascii="Times New Roman" w:hAnsi="宋体" w:hint="eastAsia"/>
          <w:sz w:val="24"/>
          <w:szCs w:val="24"/>
          <w:vertAlign w:val="superscript"/>
        </w:rPr>
        <w:t>[</w:t>
      </w:r>
      <w:r>
        <w:rPr>
          <w:rFonts w:ascii="Times New Roman" w:hAnsi="宋体" w:hint="eastAsia"/>
          <w:sz w:val="24"/>
          <w:szCs w:val="24"/>
          <w:vertAlign w:val="superscript"/>
        </w:rPr>
        <w:t>48</w:t>
      </w:r>
      <w:r>
        <w:rPr>
          <w:rFonts w:ascii="Times New Roman" w:hAnsi="宋体" w:hint="eastAsia"/>
          <w:sz w:val="24"/>
          <w:szCs w:val="24"/>
          <w:vertAlign w:val="superscript"/>
        </w:rPr>
        <w:t>]</w:t>
      </w:r>
      <w:r>
        <w:rPr>
          <w:rFonts w:ascii="Times New Roman" w:hAnsi="宋体" w:hint="eastAsia"/>
          <w:sz w:val="24"/>
          <w:szCs w:val="24"/>
        </w:rPr>
        <w:t>. Then, the kidney tissue portion was fixed in 10% neutral formalin, and sections were embedded in 5 μm thick paraffin films. The sections were stained with a hematoxylin and eosin solution to study the histopathological changes and crystal deposition.</w:t>
      </w:r>
    </w:p>
    <w:p>
      <w:pPr>
        <w:spacing w:before="156" w:beforeLines="50" w:line="360" w:lineRule="auto"/>
        <w:jc w:val="left"/>
        <w:rPr>
          <w:rFonts w:ascii="Times New Roman" w:hAnsi="宋体"/>
          <w:sz w:val="24"/>
          <w:szCs w:val="24"/>
        </w:rPr>
      </w:pPr>
      <w:r>
        <w:rPr>
          <w:rFonts w:ascii="Times New Roman" w:hAnsi="宋体" w:hint="eastAsia"/>
          <w:b/>
          <w:sz w:val="26"/>
          <w:szCs w:val="32"/>
        </w:rPr>
        <w:t>2.12  Statistical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IBM SPSS Statistics 26.0 was used for data analysis. The results were presented as mean ± standard deviation (SD). The data were analyzed by Analysis of Variance (One-way ANOVA) followed by Turkey’s post hoc test for multiple comparisons. Statistical significance was set at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0.05.</w:t>
      </w:r>
    </w:p>
    <w:p>
      <w:pPr>
        <w:spacing w:before="156" w:beforeLines="50" w:line="360" w:lineRule="auto"/>
        <w:jc w:val="left"/>
        <w:rPr>
          <w:rFonts w:ascii="Times New Roman" w:hAnsi="宋体"/>
          <w:sz w:val="24"/>
          <w:szCs w:val="24"/>
        </w:rPr>
      </w:pPr>
      <w:r>
        <w:rPr>
          <w:rFonts w:ascii="Times New Roman" w:hAnsi="宋体" w:hint="eastAsia"/>
          <w:b/>
          <w:sz w:val="32"/>
          <w:szCs w:val="32"/>
        </w:rPr>
        <w:t>3  Results</w:t>
      </w:r>
    </w:p>
    <w:p>
      <w:pPr>
        <w:spacing w:before="156" w:beforeLines="50" w:line="360" w:lineRule="auto"/>
        <w:jc w:val="left"/>
        <w:rPr>
          <w:rFonts w:ascii="Times New Roman" w:hAnsi="宋体"/>
          <w:sz w:val="24"/>
          <w:szCs w:val="24"/>
        </w:rPr>
      </w:pPr>
      <w:r>
        <w:rPr>
          <w:rFonts w:ascii="Times New Roman" w:hAnsi="宋体" w:hint="eastAsia"/>
          <w:b/>
          <w:sz w:val="26"/>
          <w:szCs w:val="32"/>
        </w:rPr>
        <w:t>3.1  Preliminary phytochemical screening</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phytochemical composition of HAEAL is shown in </w:t>
      </w:r>
      <w:r>
        <w:rPr>
          <w:rFonts w:ascii="Times New Roman" w:hAnsi="宋体" w:hint="eastAsia"/>
          <w:sz w:val="24"/>
          <w:szCs w:val="24"/>
        </w:rPr>
        <w:t>Table 1</w:t>
      </w:r>
      <w:r>
        <w:rPr>
          <w:rFonts w:ascii="Times New Roman" w:hAnsi="宋体" w:hint="eastAsia"/>
          <w:sz w:val="24"/>
          <w:szCs w:val="24"/>
        </w:rPr>
        <w:t>. Alkaloids, carbohydrates, tannins, saponin, flavonoids, terpenoids, steroid, phenols, and glycosides were identified as the active constituents.</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 </w:t>
      </w:r>
      <w:r>
        <w:rPr>
          <w:rFonts w:ascii="Times New Roman" w:hAnsi="宋体" w:hint="eastAsia"/>
          <w:sz w:val="24"/>
          <w:szCs w:val="24"/>
        </w:rPr>
        <w:t xml:space="preserve"> List of phytoconstituents of HAEAL</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No.</w:t>
            </w:r>
          </w:p>
        </w:tc>
        <w:tc>
          <w:tcPr>
            <w:tcBorders>
              <w:top w:val="basicThinLines"/>
            </w:tcBorders>
          </w:tcPr>
          <w:tcPr>
            <w:vAlign w:val="center"/>
          </w:tcPr>
          <w:p>
            <w:pPr>
              <w:jc w:val="center"/>
            </w:pPr>
            <w:r/>
            <w:r>
              <w:rPr xsi:nil="true">
                <w:b w:val="true"/>
              </w:rPr>
              <w:t>Phytochemical constituents</w:t>
            </w:r>
          </w:p>
        </w:tc>
        <w:tc>
          <w:tcPr>
            <w:tcBorders>
              <w:top w:val="basicThinLines"/>
            </w:tcBorders>
          </w:tcPr>
          <w:tcPr>
            <w:vAlign w:val="center"/>
          </w:tcPr>
          <w:p>
            <w:pPr>
              <w:jc w:val="center"/>
            </w:pPr>
            <w:r/>
            <w:r>
              <w:rPr xsi:nil="true">
                <w:b w:val="true"/>
              </w:rPr>
              <w:t>Confirmation</w:t>
            </w:r>
          </w:p>
        </w:tc>
        <w:tc>
          <w:tcPr>
            <w:tcBorders>
              <w:top w:val="basicThinLines"/>
            </w:tcBorders>
          </w:tcPr>
          <w:tcPr>
            <w:vAlign w:val="center"/>
          </w:tcPr>
          <w:p>
            <w:pPr>
              <w:jc w:val="center"/>
            </w:pPr>
            <w:r/>
            <w:r>
              <w:rPr xsi:nil="true">
                <w:b w:val="true"/>
              </w:rPr>
              <w:t>Observation</w:t>
            </w:r>
          </w:p>
        </w:tc>
        <w:tc>
          <w:tcPr>
            <w:tcBorders>
              <w:top w:val="basicThinLines"/>
            </w:tcBorders>
          </w:tcPr>
          <w:tcPr>
            <w:vAlign w:val="center"/>
          </w:tcPr>
          <w:p>
            <w:pPr>
              <w:jc w:val="center"/>
            </w:pPr>
            <w:r/>
            <w:r>
              <w:rPr xsi:nil="true">
                <w:b w:val="true"/>
              </w:rPr>
              <w:t>Inference</w:t>
            </w:r>
          </w:p>
        </w:tc>
      </w:tr>
      <w:tr>
        <w:tc>
          <w:tcPr>
            <w:tcBorders>
              <w:top w:val="basicThinLines"/>
            </w:tcBorders>
          </w:tcPr>
          <w:tcPr>
            <w:vAlign w:val="center"/>
          </w:tcPr>
          <w:p>
            <w:pPr>
              <w:jc w:val="center"/>
            </w:pPr>
            <w:r/>
            <w:r>
              <w:rPr xsi:nil="true"/>
              <w:t>1</w:t>
            </w:r>
          </w:p>
        </w:tc>
        <w:tc>
          <w:tcPr>
            <w:tcBorders>
              <w:top w:val="basicThinLines"/>
            </w:tcBorders>
          </w:tcPr>
          <w:tcPr>
            <w:vAlign w:val="center"/>
          </w:tcPr>
          <w:p>
            <w:pPr>
              <w:jc w:val="left"/>
            </w:pPr>
            <w:r/>
            <w:r>
              <w:rPr xsi:nil="true"/>
              <w:t>Alkaloids (Mayer test)</w:t>
            </w:r>
          </w:p>
        </w:tc>
        <w:tc>
          <w:tcPr>
            <w:tcBorders>
              <w:top w:val="basicThinLines"/>
            </w:tcBorders>
          </w:tcPr>
          <w:tcPr>
            <w:vAlign w:val="center"/>
          </w:tcPr>
          <w:p>
            <w:pPr>
              <w:jc w:val="left"/>
            </w:pPr>
            <w:r/>
            <w:r>
              <w:rPr xsi:nil="true"/>
              <w:t>Dull white precipitate</w:t>
            </w:r>
          </w:p>
        </w:tc>
        <w:tc>
          <w:tcPr>
            <w:tcBorders>
              <w:top w:val="basicThinLines"/>
            </w:tcBorders>
          </w:tcPr>
          <w:tcPr>
            <w:vAlign w:val="center"/>
          </w:tcPr>
          <w:p>
            <w:pPr>
              <w:jc w:val="left"/>
            </w:pPr>
            <w:r/>
            <w:r>
              <w:rPr xsi:nil="true"/>
              <w:t>Dull white precipitate</w:t>
            </w:r>
          </w:p>
        </w:tc>
        <w:tc>
          <w:tcPr>
            <w:tcBorders>
              <w:top w:val="basicThinLines"/>
            </w:tcBorders>
          </w:tcPr>
          <w:tcPr>
            <w:vAlign w:val="center"/>
          </w:tcPr>
          <w:p>
            <w:pPr>
              <w:jc w:val="center"/>
            </w:pPr>
            <w:r/>
            <w:r>
              <w:rPr xsi:nil="true"/>
              <w:t>+</w:t>
            </w:r>
          </w:p>
        </w:tc>
      </w:tr>
      <w:tr>
        <w:tc>
          <w:tcPr>
            <w:tcBorders/>
          </w:tcPr>
          <w:tcPr>
            <w:vAlign w:val="center"/>
          </w:tcPr>
          <w:p>
            <w:pPr>
              <w:jc w:val="center"/>
            </w:pPr>
            <w:r/>
            <w:r>
              <w:rPr xsi:nil="true"/>
              <w:t>2</w:t>
            </w:r>
          </w:p>
        </w:tc>
        <w:tc>
          <w:tcPr>
            <w:tcBorders/>
          </w:tcPr>
          <w:tcPr>
            <w:vAlign w:val="center"/>
          </w:tcPr>
          <w:p>
            <w:pPr>
              <w:jc w:val="left"/>
            </w:pPr>
            <w:r/>
            <w:r>
              <w:rPr xsi:nil="true"/>
              <w:t>Carbohydrate (Molisch test)</w:t>
            </w:r>
          </w:p>
        </w:tc>
        <w:tc>
          <w:tcPr>
            <w:tcBorders/>
          </w:tcPr>
          <w:tcPr>
            <w:vAlign w:val="center"/>
          </w:tcPr>
          <w:p>
            <w:pPr>
              <w:jc w:val="left"/>
            </w:pPr>
            <w:r/>
            <w:r>
              <w:rPr xsi:nil="true"/>
              <w:t>Violet ring</w:t>
            </w:r>
          </w:p>
        </w:tc>
        <w:tc>
          <w:tcPr>
            <w:tcBorders/>
          </w:tcPr>
          <w:tcPr>
            <w:vAlign w:val="center"/>
          </w:tcPr>
          <w:p>
            <w:pPr>
              <w:jc w:val="left"/>
            </w:pPr>
            <w:r/>
            <w:r>
              <w:rPr xsi:nil="true"/>
              <w:t>Violet ring</w:t>
            </w:r>
          </w:p>
        </w:tc>
        <w:tc>
          <w:tcPr>
            <w:tcBorders/>
          </w:tcPr>
          <w:tcPr>
            <w:vAlign w:val="center"/>
          </w:tcPr>
          <w:p>
            <w:pPr>
              <w:jc w:val="center"/>
            </w:pPr>
            <w:r/>
            <w:r>
              <w:rPr xsi:nil="true"/>
              <w:t>+</w:t>
            </w:r>
          </w:p>
        </w:tc>
      </w:tr>
      <w:tr>
        <w:tc>
          <w:tcPr>
            <w:tcBorders/>
          </w:tcPr>
          <w:tcPr>
            <w:vAlign w:val="center"/>
          </w:tcPr>
          <w:p>
            <w:pPr>
              <w:jc w:val="center"/>
            </w:pPr>
            <w:r/>
            <w:r>
              <w:rPr xsi:nil="true"/>
              <w:t>3</w:t>
            </w:r>
          </w:p>
        </w:tc>
        <w:tc>
          <w:tcPr>
            <w:tcBorders/>
          </w:tcPr>
          <w:tcPr>
            <w:vAlign w:val="center"/>
          </w:tcPr>
          <w:p>
            <w:pPr>
              <w:jc w:val="left"/>
            </w:pPr>
            <w:r/>
            <w:r>
              <w:rPr xsi:nil="true"/>
              <w:t>Tannin (Bromine test)</w:t>
            </w:r>
          </w:p>
        </w:tc>
        <w:tc>
          <w:tcPr>
            <w:tcBorders/>
          </w:tcPr>
          <w:tcPr>
            <w:vAlign w:val="center"/>
          </w:tcPr>
          <w:p>
            <w:pPr>
              <w:jc w:val="left"/>
            </w:pPr>
            <w:r/>
            <w:r>
              <w:rPr xsi:nil="true"/>
              <w:t xml:space="preserve">Decolorization of </w:t>
            </w:r>
            <w:r>
              <w:rPr xsi:nil="true"/>
              <w:t>bromine</w:t>
            </w:r>
          </w:p>
        </w:tc>
        <w:tc>
          <w:tcPr>
            <w:tcBorders/>
          </w:tcPr>
          <w:tcPr>
            <w:vAlign w:val="center"/>
          </w:tcPr>
          <w:p>
            <w:pPr>
              <w:jc w:val="left"/>
            </w:pPr>
            <w:r/>
            <w:r>
              <w:rPr xsi:nil="true"/>
              <w:t xml:space="preserve">Decolorization </w:t>
            </w:r>
            <w:r>
              <w:rPr xsi:nil="true"/>
              <w:t>of bromine</w:t>
            </w:r>
          </w:p>
        </w:tc>
        <w:tc>
          <w:tcPr>
            <w:tcBorders/>
          </w:tcPr>
          <w:tcPr>
            <w:vAlign w:val="center"/>
          </w:tcPr>
          <w:p>
            <w:pPr>
              <w:jc w:val="center"/>
            </w:pPr>
            <w:r/>
            <w:r>
              <w:rPr xsi:nil="true"/>
              <w:t>+</w:t>
            </w:r>
          </w:p>
        </w:tc>
      </w:tr>
      <w:tr>
        <w:tc>
          <w:tcPr>
            <w:tcBorders/>
          </w:tcPr>
          <w:tcPr>
            <w:vAlign w:val="center"/>
          </w:tcPr>
          <w:p>
            <w:pPr>
              <w:jc w:val="center"/>
            </w:pPr>
            <w:r/>
            <w:r>
              <w:rPr xsi:nil="true"/>
              <w:t>4</w:t>
            </w:r>
          </w:p>
        </w:tc>
        <w:tc>
          <w:tcPr>
            <w:tcBorders/>
          </w:tcPr>
          <w:tcPr>
            <w:vAlign w:val="center"/>
          </w:tcPr>
          <w:p>
            <w:pPr>
              <w:jc w:val="left"/>
            </w:pPr>
            <w:r/>
            <w:r>
              <w:rPr xsi:nil="true"/>
              <w:t>Saponin (froth test)</w:t>
            </w:r>
          </w:p>
        </w:tc>
        <w:tc>
          <w:tcPr>
            <w:tcBorders/>
          </w:tcPr>
          <w:tcPr>
            <w:vAlign w:val="center"/>
          </w:tcPr>
          <w:p>
            <w:pPr>
              <w:jc w:val="left"/>
            </w:pPr>
            <w:r/>
            <w:r>
              <w:rPr xsi:nil="true"/>
              <w:t>Foam</w:t>
            </w:r>
          </w:p>
        </w:tc>
        <w:tc>
          <w:tcPr>
            <w:tcBorders/>
          </w:tcPr>
          <w:tcPr>
            <w:vAlign w:val="center"/>
          </w:tcPr>
          <w:p>
            <w:pPr>
              <w:jc w:val="left"/>
            </w:pPr>
            <w:r/>
            <w:r>
              <w:rPr xsi:nil="true"/>
              <w:t>No foam</w:t>
            </w:r>
          </w:p>
        </w:tc>
        <w:tc>
          <w:tcPr>
            <w:tcBorders/>
          </w:tcPr>
          <w:tcPr>
            <w:vAlign w:val="center"/>
          </w:tcPr>
          <w:p>
            <w:pPr>
              <w:jc w:val="center"/>
            </w:pPr>
            <w:r/>
            <w:r>
              <w:rPr xsi:nil="true"/>
              <w:t>–</w:t>
            </w:r>
          </w:p>
        </w:tc>
      </w:tr>
      <w:tr>
        <w:tc>
          <w:tcPr>
            <w:tcBorders/>
          </w:tcPr>
          <w:tcPr>
            <w:vAlign w:val="center"/>
          </w:tcPr>
          <w:p>
            <w:pPr>
              <w:jc w:val="center"/>
            </w:pPr>
            <w:r/>
            <w:r>
              <w:rPr xsi:nil="true"/>
              <w:t>5</w:t>
            </w:r>
          </w:p>
        </w:tc>
        <w:tc>
          <w:tcPr>
            <w:tcBorders/>
          </w:tcPr>
          <w:tcPr>
            <w:vAlign w:val="center"/>
          </w:tcPr>
          <w:p>
            <w:pPr>
              <w:jc w:val="left"/>
            </w:pPr>
            <w:r/>
            <w:r>
              <w:rPr xsi:nil="true"/>
              <w:t>Flavonoid</w:t>
            </w:r>
            <w:r>
              <w:rPr xsi:nil="true"/>
              <w:t xml:space="preserve"> (Alkaline reagent test)</w:t>
            </w:r>
          </w:p>
        </w:tc>
        <w:tc>
          <w:tcPr>
            <w:tcBorders/>
          </w:tcPr>
          <w:tcPr>
            <w:vAlign w:val="center"/>
          </w:tcPr>
          <w:p>
            <w:pPr>
              <w:jc w:val="left"/>
            </w:pPr>
            <w:r/>
            <w:r>
              <w:rPr xsi:nil="true"/>
              <w:t>Concentrated yellow</w:t>
            </w:r>
            <w:r>
              <w:rPr xsi:nil="true"/>
              <w:t>color</w:t>
            </w:r>
          </w:p>
        </w:tc>
        <w:tc>
          <w:tcPr>
            <w:tcBorders/>
          </w:tcPr>
          <w:tcPr>
            <w:vAlign w:val="center"/>
          </w:tcPr>
          <w:p>
            <w:pPr>
              <w:jc w:val="left"/>
            </w:pPr>
            <w:r/>
            <w:r>
              <w:rPr xsi:nil="true"/>
              <w:t>Yellow color</w:t>
            </w:r>
          </w:p>
        </w:tc>
        <w:tc>
          <w:tcPr>
            <w:tcBorders/>
          </w:tcPr>
          <w:tcPr>
            <w:vAlign w:val="center"/>
          </w:tcPr>
          <w:p>
            <w:pPr>
              <w:jc w:val="center"/>
            </w:pPr>
            <w:r/>
            <w:r>
              <w:rPr xsi:nil="true"/>
              <w:t>+</w:t>
            </w:r>
          </w:p>
        </w:tc>
      </w:tr>
      <w:tr>
        <w:tc>
          <w:tcPr>
            <w:tcBorders/>
          </w:tcPr>
          <w:tcPr>
            <w:vAlign w:val="center"/>
          </w:tcPr>
          <w:p>
            <w:pPr>
              <w:jc w:val="center"/>
            </w:pPr>
            <w:r/>
            <w:r>
              <w:rPr xsi:nil="true"/>
              <w:t>6</w:t>
            </w:r>
          </w:p>
        </w:tc>
        <w:tc>
          <w:tcPr>
            <w:tcBorders/>
          </w:tcPr>
          <w:tcPr>
            <w:vAlign w:val="center"/>
          </w:tcPr>
          <w:p>
            <w:pPr>
              <w:jc w:val="left"/>
            </w:pPr>
            <w:r/>
            <w:r>
              <w:rPr xsi:nil="true"/>
              <w:t>Terpenoid (Hishon’s test)</w:t>
            </w:r>
          </w:p>
        </w:tc>
        <w:tc>
          <w:tcPr>
            <w:tcBorders/>
          </w:tcPr>
          <w:tcPr>
            <w:vAlign w:val="center"/>
          </w:tcPr>
          <w:p>
            <w:pPr>
              <w:jc w:val="left"/>
            </w:pPr>
            <w:r/>
            <w:r>
              <w:rPr xsi:nil="true"/>
              <w:t>Grey color formation</w:t>
            </w:r>
          </w:p>
        </w:tc>
        <w:tc>
          <w:tcPr>
            <w:tcBorders/>
          </w:tcPr>
          <w:tcPr>
            <w:vAlign w:val="center"/>
          </w:tcPr>
          <w:p>
            <w:pPr>
              <w:jc w:val="left"/>
            </w:pPr>
            <w:r/>
            <w:r>
              <w:rPr xsi:nil="true"/>
              <w:t>Grey color</w:t>
            </w:r>
            <w:r>
              <w:rPr xsi:nil="true"/>
              <w:t>formation</w:t>
            </w:r>
          </w:p>
        </w:tc>
        <w:tc>
          <w:tcPr>
            <w:tcBorders/>
          </w:tcPr>
          <w:tcPr>
            <w:vAlign w:val="center"/>
          </w:tcPr>
          <w:p>
            <w:pPr>
              <w:jc w:val="center"/>
            </w:pPr>
            <w:r/>
            <w:r>
              <w:rPr xsi:nil="true"/>
              <w:t>+</w:t>
            </w:r>
          </w:p>
        </w:tc>
      </w:tr>
      <w:tr>
        <w:tc>
          <w:tcPr>
            <w:tcBorders/>
          </w:tcPr>
          <w:tcPr>
            <w:vAlign w:val="center"/>
          </w:tcPr>
          <w:p>
            <w:pPr>
              <w:jc w:val="center"/>
            </w:pPr>
            <w:r/>
            <w:r>
              <w:rPr xsi:nil="true"/>
              <w:t>7</w:t>
            </w:r>
          </w:p>
        </w:tc>
        <w:tc>
          <w:tcPr>
            <w:tcBorders/>
          </w:tcPr>
          <w:tcPr>
            <w:vAlign w:val="center"/>
          </w:tcPr>
          <w:p>
            <w:pPr>
              <w:jc w:val="left"/>
            </w:pPr>
            <w:r/>
            <w:r>
              <w:rPr xsi:nil="true"/>
              <w:t>Steroid (Salkowski test)</w:t>
            </w:r>
          </w:p>
        </w:tc>
        <w:tc>
          <w:tcPr>
            <w:tcBorders/>
          </w:tcPr>
          <w:tcPr>
            <w:vAlign w:val="center"/>
          </w:tcPr>
          <w:p>
            <w:pPr>
              <w:jc w:val="left"/>
            </w:pPr>
            <w:r/>
            <w:r>
              <w:rPr xsi:nil="true"/>
              <w:t>Red color</w:t>
            </w:r>
          </w:p>
        </w:tc>
        <w:tc>
          <w:tcPr>
            <w:tcBorders/>
          </w:tcPr>
          <w:tcPr>
            <w:vAlign w:val="center"/>
          </w:tcPr>
          <w:p>
            <w:pPr>
              <w:jc w:val="left"/>
            </w:pPr>
            <w:r/>
            <w:r>
              <w:rPr xsi:nil="true"/>
              <w:t xml:space="preserve">No red color </w:t>
            </w:r>
            <w:r>
              <w:rPr xsi:nil="true"/>
              <w:t>formation</w:t>
            </w:r>
            <w:r>
              <w:rPr xsi:nil="true"/>
              <w:t>in chloroform layer</w:t>
            </w:r>
          </w:p>
        </w:tc>
        <w:tc>
          <w:tcPr>
            <w:tcBorders/>
          </w:tcPr>
          <w:tcPr>
            <w:vAlign w:val="center"/>
          </w:tcPr>
          <w:p>
            <w:pPr>
              <w:jc w:val="center"/>
            </w:pPr>
            <w:r/>
            <w:r>
              <w:rPr xsi:nil="true"/>
              <w:t>−</w:t>
            </w:r>
          </w:p>
        </w:tc>
      </w:tr>
      <w:tr>
        <w:tc>
          <w:tcPr>
            <w:tcBorders/>
          </w:tcPr>
          <w:tcPr>
            <w:vAlign w:val="center"/>
          </w:tcPr>
          <w:p>
            <w:pPr>
              <w:jc w:val="center"/>
            </w:pPr>
            <w:r/>
            <w:r>
              <w:rPr xsi:nil="true"/>
              <w:t>8</w:t>
            </w:r>
          </w:p>
        </w:tc>
        <w:tc>
          <w:tcPr>
            <w:tcBorders/>
          </w:tcPr>
          <w:tcPr>
            <w:vAlign w:val="center"/>
          </w:tcPr>
          <w:p>
            <w:pPr>
              <w:jc w:val="left"/>
            </w:pPr>
            <w:r/>
            <w:r>
              <w:rPr xsi:nil="true"/>
              <w:t>Phenol (Lead acetate test)</w:t>
            </w:r>
          </w:p>
        </w:tc>
        <w:tc>
          <w:tcPr>
            <w:tcBorders/>
          </w:tcPr>
          <w:tcPr>
            <w:vAlign w:val="center"/>
          </w:tcPr>
          <w:p>
            <w:pPr>
              <w:jc w:val="left"/>
            </w:pPr>
            <w:r/>
            <w:r>
              <w:rPr xsi:nil="true"/>
              <w:t>Precipitation occurs</w:t>
            </w:r>
          </w:p>
        </w:tc>
        <w:tc>
          <w:tcPr>
            <w:tcBorders/>
          </w:tcPr>
          <w:tcPr>
            <w:vAlign w:val="center"/>
          </w:tcPr>
          <w:p>
            <w:pPr>
              <w:jc w:val="left"/>
            </w:pPr>
            <w:r/>
            <w:r>
              <w:rPr xsi:nil="true"/>
              <w:t>Precipitation occurred</w:t>
            </w:r>
          </w:p>
        </w:tc>
        <w:tc>
          <w:tcPr>
            <w:tcBorders/>
          </w:tcPr>
          <w:tcPr>
            <w:vAlign w:val="center"/>
          </w:tcPr>
          <w:p>
            <w:pPr>
              <w:jc w:val="center"/>
            </w:pPr>
            <w:r/>
            <w:r>
              <w:rPr xsi:nil="true"/>
              <w:t>+</w:t>
            </w:r>
          </w:p>
        </w:tc>
      </w:tr>
      <w:tr>
        <w:tc>
          <w:tcPr>
            <w:tcBorders>
              <w:bottom w:val="basicThinLines"/>
            </w:tcBorders>
          </w:tcPr>
          <w:tcPr>
            <w:vAlign w:val="center"/>
          </w:tcPr>
          <w:p>
            <w:pPr>
              <w:jc w:val="center"/>
            </w:pPr>
            <w:r/>
            <w:r>
              <w:rPr xsi:nil="true"/>
              <w:t>9</w:t>
            </w:r>
          </w:p>
        </w:tc>
        <w:tc>
          <w:tcPr>
            <w:tcBorders>
              <w:bottom w:val="basicThinLines"/>
            </w:tcBorders>
          </w:tcPr>
          <w:tcPr>
            <w:vAlign w:val="center"/>
          </w:tcPr>
          <w:p>
            <w:pPr>
              <w:jc w:val="left"/>
            </w:pPr>
            <w:r/>
            <w:r>
              <w:rPr xsi:nil="true"/>
              <w:t>Glycoside (Fehling’s test)</w:t>
            </w:r>
          </w:p>
        </w:tc>
        <w:tc>
          <w:tcPr>
            <w:tcBorders>
              <w:bottom w:val="basicThinLines"/>
            </w:tcBorders>
          </w:tcPr>
          <w:tcPr>
            <w:vAlign w:val="center"/>
          </w:tcPr>
          <w:p>
            <w:pPr>
              <w:jc w:val="left"/>
            </w:pPr>
            <w:r/>
            <w:r>
              <w:rPr xsi:nil="true"/>
              <w:t>Reddish brown color</w:t>
            </w:r>
          </w:p>
        </w:tc>
        <w:tc>
          <w:tcPr>
            <w:tcBorders>
              <w:bottom w:val="basicThinLines"/>
            </w:tcBorders>
          </w:tcPr>
          <w:tcPr>
            <w:vAlign w:val="center"/>
          </w:tcPr>
          <w:p>
            <w:pPr>
              <w:jc w:val="left"/>
            </w:pPr>
            <w:r/>
            <w:r>
              <w:rPr xsi:nil="true"/>
              <w:t>Reddish brown color</w:t>
            </w:r>
            <w:r>
              <w:rPr xsi:nil="true"/>
              <w:t>formed</w:t>
            </w:r>
          </w:p>
        </w:tc>
        <w:tc>
          <w:tcPr>
            <w:tcBorders>
              <w:bottom w:val="basicThinLines"/>
            </w:tcBorders>
          </w:tcPr>
          <w:tcPr>
            <w:vAlign w:val="center"/>
          </w:tcPr>
          <w:p>
            <w:pPr>
              <w:jc w:val="center"/>
            </w:pPr>
            <w:r/>
            <w:r>
              <w:rPr xsi:nil="true"/>
              <w:t>+</w:t>
            </w:r>
          </w:p>
        </w:tc>
      </w:tr>
      <w:tr>
        <w:tc>
          <w:tcPr>
            <w:hMerge w:val="restart"/>
          </w:tcPr>
          <w:tcPr>
            <w:tcBorders/>
          </w:tcPr>
          <w:tcPr>
            <w:vAlign w:val="center"/>
          </w:tcPr>
          <w:p>
            <w:pPr>
              <w:jc w:val="left"/>
            </w:pPr>
            <w:r/>
            <w:r>
              <w:rPr xsi:nil="true"/>
              <w:t>+ represents presence; − represents absence.</w:t>
            </w:r>
          </w:p>
        </w:tc>
        <w:tc>
          <w:tcPr>
            <w:hMerge w:val="continue"/>
          </w:tcPr>
          <w:p/>
        </w:tc>
        <w:tc>
          <w:tcPr>
            <w:hMerge w:val="continue"/>
          </w:tcPr>
          <w:p/>
        </w:tc>
        <w:tc>
          <w:tcPr>
            <w:hMerge w:val="continue"/>
          </w:tcPr>
          <w:p/>
        </w:tc>
        <w:tc>
          <w:tcPr>
            <w:hMerge w:val="continue"/>
          </w:tcPr>
          <w:p/>
        </w:tc>
      </w:tr>
      <w:tr>
        <w:tc>
          <w:p/>
        </w:tc>
        <w:tc>
          <w:p/>
        </w:tc>
        <w:tc>
          <w:p/>
        </w:tc>
        <w:tc>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 xml:space="preserve">3.2  </w:t>
      </w:r>
      <w:r>
        <w:rPr>
          <w:rFonts w:ascii="Times New Roman" w:hAnsi="宋体" w:hint="eastAsia"/>
          <w:b/>
          <w:i w:val="true"/>
          <w:sz w:val="26"/>
          <w:szCs w:val="32"/>
        </w:rPr>
        <w:t>In vitro</w:t>
      </w:r>
      <w:r>
        <w:rPr>
          <w:rFonts w:ascii="Times New Roman" w:hAnsi="宋体" w:hint="eastAsia"/>
          <w:b/>
          <w:sz w:val="26"/>
          <w:szCs w:val="32"/>
        </w:rPr>
        <w:t xml:space="preserve"> studies</w:t>
      </w:r>
    </w:p>
    <w:p>
      <w:pPr>
        <w:spacing w:before="156" w:beforeLines="50" w:line="360" w:lineRule="auto"/>
        <w:jc w:val="left"/>
        <w:rPr>
          <w:rFonts w:ascii="Times New Roman" w:hAnsi="宋体"/>
          <w:sz w:val="24"/>
          <w:szCs w:val="24"/>
        </w:rPr>
      </w:pPr>
      <w:r>
        <w:rPr>
          <w:rFonts w:ascii="Times New Roman" w:hAnsi="宋体" w:hint="eastAsia"/>
          <w:b/>
          <w:sz w:val="24"/>
          <w:szCs w:val="32"/>
        </w:rPr>
        <w:t>3.2.1  Nucleation of calcium oxalate crystals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rate of calcium oxalate crystal nucleation was determined by a previously reported method </w:t>
      </w:r>
      <w:r>
        <w:rPr>
          <w:rFonts w:ascii="Times New Roman" w:hAnsi="宋体" w:hint="eastAsia"/>
          <w:sz w:val="24"/>
          <w:szCs w:val="24"/>
          <w:vertAlign w:val="superscript"/>
        </w:rPr>
        <w:t>[</w:t>
      </w:r>
      <w:r>
        <w:rPr>
          <w:rFonts w:ascii="Times New Roman" w:hAnsi="宋体" w:hint="eastAsia"/>
          <w:sz w:val="24"/>
          <w:szCs w:val="24"/>
          <w:vertAlign w:val="superscript"/>
        </w:rPr>
        <w:t>41</w:t>
      </w:r>
      <w:r>
        <w:rPr>
          <w:rFonts w:ascii="Times New Roman" w:hAnsi="宋体" w:hint="eastAsia"/>
          <w:sz w:val="24"/>
          <w:szCs w:val="24"/>
          <w:vertAlign w:val="superscript"/>
        </w:rPr>
        <w:t>]</w:t>
      </w:r>
      <w:r>
        <w:rPr>
          <w:rFonts w:ascii="Times New Roman" w:hAnsi="宋体" w:hint="eastAsia"/>
          <w:sz w:val="24"/>
          <w:szCs w:val="24"/>
        </w:rPr>
        <w:t xml:space="preserve">, and the results are shown in </w:t>
      </w:r>
      <w:r>
        <w:rPr>
          <w:rFonts w:ascii="Times New Roman" w:hAnsi="宋体" w:hint="eastAsia"/>
          <w:sz w:val="24"/>
          <w:szCs w:val="24"/>
        </w:rPr>
        <w:t>Table 2</w:t>
      </w:r>
      <w:r>
        <w:rPr>
          <w:rFonts w:ascii="Times New Roman" w:hAnsi="宋体" w:hint="eastAsia"/>
          <w:sz w:val="24"/>
          <w:szCs w:val="24"/>
        </w:rPr>
        <w:t>. The nucleation assay is based on turbidity formation  and dissolution, wherein absorbance increases on the increasing concentration, and is measured by spectrophotometry at 620 nm. The solution with HAEAL at 100 µg/mL showed the lowest turbidity and the highest inhibition of calcium oxalate monohydrate crystals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0.05). HAEAL at various concentrations significantly inhibited stone formation, as indicated by the increases in the rate of absorbance.</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2 </w:t>
      </w:r>
      <w:r>
        <w:rPr>
          <w:rFonts w:ascii="Times New Roman" w:hAnsi="宋体" w:hint="eastAsia"/>
          <w:sz w:val="24"/>
          <w:szCs w:val="24"/>
        </w:rPr>
        <w:t xml:space="preserve"> Nucleation of calcium oxalate crystals</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Concentration</w:t>
            </w:r>
            <w:r>
              <w:rPr xsi:nil="true"/>
              <w:t xml:space="preserve"> </w:t>
            </w:r>
            <w:r>
              <w:rPr xsi:nil="true">
                <w:b w:val="true"/>
              </w:rPr>
              <w:t>(µg/mL)</w:t>
            </w:r>
          </w:p>
        </w:tc>
        <w:tc>
          <w:tcPr>
            <w:tcBorders>
              <w:top w:val="basicThinLines"/>
            </w:tcBorders>
          </w:tcPr>
          <w:tcPr>
            <w:vAlign w:val="center"/>
          </w:tcPr>
          <w:p>
            <w:pPr>
              <w:jc w:val="center"/>
            </w:pPr>
            <w:r/>
            <w:r>
              <w:rPr xsi:nil="true">
                <w:b w:val="true"/>
              </w:rPr>
              <w:t>Standard</w:t>
            </w:r>
            <w:r>
              <w:rPr xsi:nil="true"/>
              <w:t xml:space="preserve"> </w:t>
            </w:r>
            <w:r>
              <w:rPr xsi:nil="true">
                <w:b w:val="true"/>
              </w:rPr>
              <w:t>(Cystone)</w:t>
            </w:r>
          </w:p>
        </w:tc>
        <w:tc>
          <w:tcPr>
            <w:tcBorders>
              <w:top w:val="basicThinLines"/>
            </w:tcBorders>
          </w:tcPr>
          <w:tcPr>
            <w:vAlign w:val="center"/>
          </w:tcPr>
          <w:p>
            <w:pPr>
              <w:jc w:val="center"/>
            </w:pPr>
            <w:r/>
            <w:r>
              <w:rPr xsi:nil="true">
                <w:b w:val="true"/>
              </w:rPr>
              <w:t>Test</w:t>
            </w:r>
            <w:r>
              <w:rPr xsi:nil="true"/>
              <w:t xml:space="preserve"> </w:t>
            </w:r>
            <w:r>
              <w:rPr xsi:nil="true">
                <w:b w:val="true"/>
              </w:rPr>
              <w:t>(HAEAL)</w:t>
            </w:r>
          </w:p>
        </w:tc>
      </w:tr>
      <w:tr>
        <w:tc>
          <w:tcPr>
            <w:tcBorders>
              <w:top w:val="basicThinLines"/>
            </w:tcBorders>
          </w:tcPr>
          <w:tcPr>
            <w:vAlign w:val="center"/>
          </w:tcPr>
          <w:p>
            <w:pPr>
              <w:jc w:val="center"/>
            </w:pPr>
            <w:r/>
            <w:r>
              <w:rPr xsi:nil="true"/>
              <w:t xml:space="preserve">  20</w:t>
            </w:r>
          </w:p>
        </w:tc>
        <w:tc>
          <w:tcPr>
            <w:tcBorders>
              <w:top w:val="basicThinLines"/>
            </w:tcBorders>
          </w:tcPr>
          <w:tcPr>
            <w:vAlign w:val="center"/>
          </w:tcPr>
          <w:p>
            <w:pPr>
              <w:jc w:val="center"/>
            </w:pPr>
            <w:r/>
            <w:r>
              <w:rPr xsi:nil="true"/>
              <w:t xml:space="preserve">0.512  </w:t>
            </w:r>
          </w:p>
        </w:tc>
        <w:tc>
          <w:tcPr>
            <w:tcBorders>
              <w:top w:val="basicThinLines"/>
            </w:tcBorders>
          </w:tcPr>
          <w:tcPr>
            <w:vAlign w:val="center"/>
          </w:tcPr>
          <w:p>
            <w:pPr>
              <w:jc w:val="center"/>
            </w:pPr>
            <w:r/>
            <w:r>
              <w:rPr xsi:nil="true"/>
              <w:t xml:space="preserve">0.451 </w:t>
            </w:r>
          </w:p>
        </w:tc>
      </w:tr>
      <w:tr>
        <w:tc>
          <w:tcPr>
            <w:tcBorders/>
          </w:tcPr>
          <w:tcPr>
            <w:vAlign w:val="center"/>
          </w:tcPr>
          <w:p>
            <w:pPr>
              <w:jc w:val="center"/>
            </w:pPr>
            <w:r/>
            <w:r>
              <w:rPr xsi:nil="true"/>
              <w:t xml:space="preserve">  40</w:t>
            </w:r>
          </w:p>
        </w:tc>
        <w:tc>
          <w:tcPr>
            <w:tcBorders/>
          </w:tcPr>
          <w:tcPr>
            <w:vAlign w:val="center"/>
          </w:tcPr>
          <w:p>
            <w:pPr>
              <w:jc w:val="center"/>
            </w:pPr>
            <w:r/>
            <w:r>
              <w:rPr xsi:nil="true"/>
              <w:t>0.534</w:t>
            </w:r>
            <w:r>
              <w:rPr xsi:nil="true">
                <w:vertAlign w:val="superscript"/>
              </w:rPr>
              <w:t>*</w:t>
            </w:r>
          </w:p>
        </w:tc>
        <w:tc>
          <w:tcPr>
            <w:tcBorders/>
          </w:tcPr>
          <w:tcPr>
            <w:vAlign w:val="center"/>
          </w:tcPr>
          <w:p>
            <w:pPr>
              <w:jc w:val="center"/>
            </w:pPr>
            <w:r/>
            <w:r>
              <w:rPr xsi:nil="true"/>
              <w:t>0.474</w:t>
            </w:r>
            <w:r>
              <w:rPr xsi:nil="true">
                <w:vertAlign w:val="superscript"/>
              </w:rPr>
              <w:t>#</w:t>
            </w:r>
          </w:p>
        </w:tc>
      </w:tr>
      <w:tr>
        <w:tc>
          <w:tcPr>
            <w:tcBorders/>
          </w:tcPr>
          <w:tcPr>
            <w:vAlign w:val="center"/>
          </w:tcPr>
          <w:p>
            <w:pPr>
              <w:jc w:val="center"/>
            </w:pPr>
            <w:r/>
            <w:r>
              <w:rPr xsi:nil="true"/>
              <w:t xml:space="preserve">  60</w:t>
            </w:r>
          </w:p>
        </w:tc>
        <w:tc>
          <w:tcPr>
            <w:tcBorders/>
          </w:tcPr>
          <w:tcPr>
            <w:vAlign w:val="center"/>
          </w:tcPr>
          <w:p>
            <w:pPr>
              <w:jc w:val="center"/>
            </w:pPr>
            <w:r/>
            <w:r>
              <w:rPr xsi:nil="true"/>
              <w:t>0.621</w:t>
            </w:r>
            <w:r>
              <w:rPr xsi:nil="true">
                <w:vertAlign w:val="superscript"/>
              </w:rPr>
              <w:t>*</w:t>
            </w:r>
          </w:p>
        </w:tc>
        <w:tc>
          <w:tcPr>
            <w:tcBorders/>
          </w:tcPr>
          <w:tcPr>
            <w:vAlign w:val="center"/>
          </w:tcPr>
          <w:p>
            <w:pPr>
              <w:jc w:val="center"/>
            </w:pPr>
            <w:r/>
            <w:r>
              <w:rPr xsi:nil="true"/>
              <w:t>0.480</w:t>
            </w:r>
            <w:r>
              <w:rPr xsi:nil="true">
                <w:vertAlign w:val="superscript"/>
              </w:rPr>
              <w:t>#</w:t>
            </w:r>
          </w:p>
        </w:tc>
      </w:tr>
      <w:tr>
        <w:tc>
          <w:tcPr>
            <w:tcBorders/>
          </w:tcPr>
          <w:tcPr>
            <w:vAlign w:val="center"/>
          </w:tcPr>
          <w:p>
            <w:pPr>
              <w:jc w:val="center"/>
            </w:pPr>
            <w:r/>
            <w:r>
              <w:rPr xsi:nil="true"/>
              <w:t xml:space="preserve">  80</w:t>
            </w:r>
          </w:p>
        </w:tc>
        <w:tc>
          <w:tcPr>
            <w:tcBorders/>
          </w:tcPr>
          <w:tcPr>
            <w:vAlign w:val="center"/>
          </w:tcPr>
          <w:p>
            <w:pPr>
              <w:jc w:val="center"/>
            </w:pPr>
            <w:r/>
            <w:r>
              <w:rPr xsi:nil="true"/>
              <w:t>0.629</w:t>
            </w:r>
            <w:r>
              <w:rPr xsi:nil="true">
                <w:vertAlign w:val="superscript"/>
              </w:rPr>
              <w:t>*</w:t>
            </w:r>
          </w:p>
        </w:tc>
        <w:tc>
          <w:tcPr>
            <w:tcBorders/>
          </w:tcPr>
          <w:tcPr>
            <w:vAlign w:val="center"/>
          </w:tcPr>
          <w:p>
            <w:pPr>
              <w:jc w:val="center"/>
            </w:pPr>
            <w:r/>
            <w:r>
              <w:rPr xsi:nil="true"/>
              <w:t>0.483</w:t>
            </w:r>
            <w:r>
              <w:rPr xsi:nil="true">
                <w:vertAlign w:val="superscript"/>
              </w:rPr>
              <w:t>#</w:t>
            </w:r>
          </w:p>
        </w:tc>
      </w:tr>
      <w:tr>
        <w:tc>
          <w:tcPr>
            <w:tcBorders>
              <w:bottom w:val="basicThinLines"/>
            </w:tcBorders>
          </w:tcPr>
          <w:tcPr>
            <w:vAlign w:val="center"/>
          </w:tcPr>
          <w:p>
            <w:pPr>
              <w:jc w:val="center"/>
            </w:pPr>
            <w:r/>
            <w:r>
              <w:rPr xsi:nil="true"/>
              <w:t>100</w:t>
            </w:r>
          </w:p>
        </w:tc>
        <w:tc>
          <w:tcPr>
            <w:tcBorders>
              <w:bottom w:val="basicThinLines"/>
            </w:tcBorders>
          </w:tcPr>
          <w:tcPr>
            <w:vAlign w:val="center"/>
          </w:tcPr>
          <w:p>
            <w:pPr>
              <w:jc w:val="center"/>
            </w:pPr>
            <w:r/>
            <w:r>
              <w:rPr xsi:nil="true"/>
              <w:t>0.687</w:t>
            </w:r>
            <w:r>
              <w:rPr xsi:nil="true">
                <w:vertAlign w:val="superscript"/>
              </w:rPr>
              <w:t>*</w:t>
            </w:r>
          </w:p>
        </w:tc>
        <w:tc>
          <w:tcPr>
            <w:tcBorders>
              <w:bottom w:val="basicThinLines"/>
            </w:tcBorders>
          </w:tcPr>
          <w:tcPr>
            <w:vAlign w:val="center"/>
          </w:tcPr>
          <w:p>
            <w:pPr>
              <w:jc w:val="center"/>
            </w:pPr>
            <w:r/>
            <w:r>
              <w:rPr xsi:nil="true"/>
              <w:t>0.568</w:t>
            </w:r>
            <w:r>
              <w:rPr xsi:nil="true">
                <w:vertAlign w:val="superscript"/>
              </w:rPr>
              <w:t>#</w:t>
            </w:r>
          </w:p>
        </w:tc>
      </w:tr>
      <w:tr>
        <w:tc>
          <w:tcPr>
            <w:hMerge w:val="restart"/>
          </w:tcPr>
          <w:tcPr>
            <w:tcBorders/>
          </w:tcPr>
          <w:tcPr>
            <w:vAlign w:val="center"/>
          </w:tcPr>
          <w:p>
            <w:pPr>
              <w:jc w:val="left"/>
            </w:pPr>
            <w:r/>
            <w:r>
              <w:rPr xsi:nil="true"/>
              <w:t xml:space="preserve">Values are expressed as a mean of triplicate samples. </w:t>
            </w:r>
            <w:r>
              <w:rPr xsi:nil="true">
                <w:vertAlign w:val="superscript"/>
              </w:rPr>
              <w:t>*</w:t>
            </w:r>
            <w:r>
              <w:rPr xsi:nil="true">
                <w:i w:val="true"/>
              </w:rPr>
              <w:t>P</w:t>
            </w:r>
            <w:r>
              <w:rPr xsi:nil="true"/>
              <w:t xml:space="preserve"> </w:t>
            </w:r>
            <w:r>
              <w:rPr xsi:nil="true"/>
              <w:t>&lt;</w:t>
            </w:r>
            <w:r>
              <w:rPr xsi:nil="true"/>
              <w:t xml:space="preserve"> 0.05, compared with 20 µg/mL standard (Cystone); </w:t>
            </w:r>
            <w:r>
              <w:rPr xsi:nil="true">
                <w:b w:val="true"/>
                <w:vertAlign w:val="superscript"/>
              </w:rPr>
              <w:t>#</w:t>
            </w:r>
            <w:r>
              <w:rPr xsi:nil="true">
                <w:i w:val="true"/>
              </w:rPr>
              <w:t>P</w:t>
            </w:r>
            <w:r>
              <w:rPr xsi:nil="true"/>
              <w:t>&lt;</w:t>
            </w:r>
            <w:r>
              <w:rPr xsi:nil="true"/>
              <w:t>0.05, compared with</w:t>
            </w:r>
            <w:r>
              <w:rPr xsi:nil="true"/>
              <w:t xml:space="preserve"> 20 µg/mL test (HAEAL).</w:t>
            </w:r>
          </w:p>
        </w:tc>
        <w:tc>
          <w:tcPr>
            <w:hMerge w:val="continue"/>
          </w:tcPr>
          <w:p/>
        </w:tc>
        <w:tc>
          <w:tcPr>
            <w:hMerge w:val="continue"/>
          </w:tcPr>
          <w:p/>
        </w:tc>
      </w:tr>
      <w:tr>
        <w:tc>
          <w:p/>
        </w:tc>
        <w:tc>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4"/>
          <w:szCs w:val="32"/>
        </w:rPr>
        <w:t>3.2.2  Aggregation of calcium oxalate crystals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rate of calcium oxalate crystal aggregation was determined as described previously </w:t>
      </w:r>
      <w:r>
        <w:rPr>
          <w:rFonts w:ascii="Times New Roman" w:hAnsi="宋体" w:hint="eastAsia"/>
          <w:sz w:val="24"/>
          <w:szCs w:val="24"/>
          <w:vertAlign w:val="superscript"/>
        </w:rPr>
        <w:t>[</w:t>
      </w:r>
      <w:r>
        <w:rPr>
          <w:rFonts w:ascii="Times New Roman" w:hAnsi="宋体" w:hint="eastAsia"/>
          <w:sz w:val="24"/>
          <w:szCs w:val="24"/>
          <w:vertAlign w:val="superscript"/>
        </w:rPr>
        <w:t>42</w:t>
      </w:r>
      <w:r>
        <w:rPr>
          <w:rFonts w:ascii="Times New Roman" w:hAnsi="宋体" w:hint="eastAsia"/>
          <w:sz w:val="24"/>
          <w:szCs w:val="24"/>
          <w:vertAlign w:val="superscript"/>
        </w:rPr>
        <w:t>]</w:t>
      </w:r>
      <w:r>
        <w:rPr>
          <w:rFonts w:ascii="Times New Roman" w:hAnsi="宋体" w:hint="eastAsia"/>
          <w:sz w:val="24"/>
          <w:szCs w:val="24"/>
        </w:rPr>
        <w:t xml:space="preserve">, and the results are shown in </w:t>
      </w:r>
      <w:r>
        <w:rPr>
          <w:rFonts w:ascii="Times New Roman" w:hAnsi="宋体" w:hint="eastAsia"/>
          <w:sz w:val="24"/>
          <w:szCs w:val="24"/>
        </w:rPr>
        <w:t>Table 3</w:t>
      </w:r>
      <w:r>
        <w:rPr>
          <w:rFonts w:ascii="Times New Roman" w:hAnsi="宋体" w:hint="eastAsia"/>
          <w:sz w:val="24"/>
          <w:szCs w:val="24"/>
        </w:rPr>
        <w:t xml:space="preserve">. The absorbance in the presence of HAEAL at various concentrations was measured at 620 nm. The </w:t>
      </w:r>
      <w:r>
        <w:rPr>
          <w:rFonts w:ascii="Times New Roman" w:hAnsi="宋体" w:hint="eastAsia"/>
          <w:i w:val="true"/>
          <w:sz w:val="24"/>
          <w:szCs w:val="24"/>
        </w:rPr>
        <w:t>in vitro</w:t>
      </w:r>
      <w:r>
        <w:rPr>
          <w:rFonts w:ascii="Times New Roman" w:hAnsi="宋体" w:hint="eastAsia"/>
          <w:sz w:val="24"/>
          <w:szCs w:val="24"/>
        </w:rPr>
        <w:t xml:space="preserve"> inhibitory effect of HAEAL on various phases of calcium oxalate crystallization was determined by measuring the turbidity and absorbance rate. </w:t>
      </w:r>
      <w:r>
        <w:rPr>
          <w:rFonts w:ascii="Times New Roman" w:hAnsi="宋体" w:hint="eastAsia"/>
          <w:sz w:val="24"/>
          <w:szCs w:val="24"/>
        </w:rPr>
        <w:t>Figure 1</w:t>
      </w:r>
      <w:r>
        <w:rPr>
          <w:rFonts w:ascii="Times New Roman" w:hAnsi="宋体" w:hint="eastAsia"/>
          <w:sz w:val="24"/>
          <w:szCs w:val="24"/>
        </w:rPr>
        <w:t xml:space="preserve"> shows crystal aggregation formed as calcium oxalate crystals.</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3 </w:t>
      </w:r>
      <w:r>
        <w:rPr>
          <w:rFonts w:ascii="Times New Roman" w:hAnsi="宋体" w:hint="eastAsia"/>
          <w:sz w:val="24"/>
          <w:szCs w:val="24"/>
        </w:rPr>
        <w:t xml:space="preserve"> Aggregation of calcium oxalate crystals</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Concentration</w:t>
            </w:r>
            <w:r>
              <w:rPr xsi:nil="true"/>
              <w:t xml:space="preserve"> </w:t>
            </w:r>
            <w:r>
              <w:rPr xsi:nil="true">
                <w:b w:val="true"/>
              </w:rPr>
              <w:t>(µg/mL)</w:t>
            </w:r>
          </w:p>
        </w:tc>
        <w:tc>
          <w:tcPr>
            <w:tcBorders>
              <w:top w:val="basicThinLines"/>
            </w:tcBorders>
          </w:tcPr>
          <w:tcPr>
            <w:vAlign w:val="center"/>
          </w:tcPr>
          <w:p>
            <w:pPr>
              <w:jc w:val="center"/>
            </w:pPr>
            <w:r/>
            <w:r>
              <w:rPr xsi:nil="true">
                <w:b w:val="true"/>
              </w:rPr>
              <w:t>Standard</w:t>
            </w:r>
            <w:r>
              <w:rPr xsi:nil="true"/>
              <w:t xml:space="preserve"> </w:t>
            </w:r>
            <w:r>
              <w:rPr xsi:nil="true">
                <w:b w:val="true"/>
              </w:rPr>
              <w:t>(Cystone)</w:t>
            </w:r>
          </w:p>
        </w:tc>
        <w:tc>
          <w:tcPr>
            <w:tcBorders>
              <w:top w:val="basicThinLines"/>
            </w:tcBorders>
          </w:tcPr>
          <w:tcPr>
            <w:vAlign w:val="center"/>
          </w:tcPr>
          <w:p>
            <w:pPr>
              <w:jc w:val="center"/>
            </w:pPr>
            <w:r/>
            <w:r>
              <w:rPr xsi:nil="true">
                <w:b w:val="true"/>
              </w:rPr>
              <w:t>Test</w:t>
            </w:r>
            <w:r>
              <w:rPr xsi:nil="true"/>
              <w:t xml:space="preserve"> </w:t>
            </w:r>
            <w:r>
              <w:rPr xsi:nil="true">
                <w:b w:val="true"/>
              </w:rPr>
              <w:t>(HAEAL)</w:t>
            </w:r>
          </w:p>
        </w:tc>
      </w:tr>
      <w:tr>
        <w:tc>
          <w:tcPr>
            <w:tcBorders>
              <w:top w:val="basicThinLines"/>
            </w:tcBorders>
          </w:tcPr>
          <w:tcPr>
            <w:vAlign w:val="center"/>
          </w:tcPr>
          <w:p>
            <w:pPr>
              <w:jc w:val="center"/>
            </w:pPr>
            <w:r/>
            <w:r>
              <w:rPr xsi:nil="true"/>
              <w:t xml:space="preserve">  20</w:t>
            </w:r>
          </w:p>
        </w:tc>
        <w:tc>
          <w:tcPr>
            <w:tcBorders>
              <w:top w:val="basicThinLines"/>
            </w:tcBorders>
          </w:tcPr>
          <w:tcPr>
            <w:vAlign w:val="center"/>
          </w:tcPr>
          <w:p>
            <w:pPr>
              <w:jc w:val="center"/>
            </w:pPr>
            <w:r/>
            <w:r>
              <w:rPr xsi:nil="true"/>
              <w:t xml:space="preserve">0.012  </w:t>
            </w:r>
          </w:p>
        </w:tc>
        <w:tc>
          <w:tcPr>
            <w:tcBorders>
              <w:top w:val="basicThinLines"/>
            </w:tcBorders>
          </w:tcPr>
          <w:tcPr>
            <w:vAlign w:val="center"/>
          </w:tcPr>
          <w:p>
            <w:pPr>
              <w:jc w:val="center"/>
            </w:pPr>
            <w:r/>
            <w:r>
              <w:rPr xsi:nil="true"/>
              <w:t xml:space="preserve">0.009  </w:t>
            </w:r>
          </w:p>
        </w:tc>
      </w:tr>
      <w:tr>
        <w:tc>
          <w:tcPr>
            <w:tcBorders/>
          </w:tcPr>
          <w:tcPr>
            <w:vAlign w:val="center"/>
          </w:tcPr>
          <w:p>
            <w:pPr>
              <w:jc w:val="center"/>
            </w:pPr>
            <w:r/>
            <w:r>
              <w:rPr xsi:nil="true"/>
              <w:t xml:space="preserve">  40</w:t>
            </w:r>
          </w:p>
        </w:tc>
        <w:tc>
          <w:tcPr>
            <w:tcBorders/>
          </w:tcPr>
          <w:tcPr>
            <w:vAlign w:val="center"/>
          </w:tcPr>
          <w:p>
            <w:pPr>
              <w:jc w:val="center"/>
            </w:pPr>
            <w:r/>
            <w:r>
              <w:rPr xsi:nil="true"/>
              <w:t>0.007</w:t>
            </w:r>
            <w:r>
              <w:rPr xsi:nil="true">
                <w:vertAlign w:val="superscript"/>
              </w:rPr>
              <w:t>*</w:t>
            </w:r>
          </w:p>
        </w:tc>
        <w:tc>
          <w:tcPr>
            <w:tcBorders/>
          </w:tcPr>
          <w:tcPr>
            <w:vAlign w:val="center"/>
          </w:tcPr>
          <w:p>
            <w:pPr>
              <w:jc w:val="center"/>
            </w:pPr>
            <w:r/>
            <w:r>
              <w:rPr xsi:nil="true"/>
              <w:t>0.005</w:t>
            </w:r>
            <w:r>
              <w:rPr xsi:nil="true">
                <w:vertAlign w:val="superscript"/>
              </w:rPr>
              <w:t>#</w:t>
            </w:r>
          </w:p>
        </w:tc>
      </w:tr>
      <w:tr>
        <w:tc>
          <w:tcPr>
            <w:tcBorders/>
          </w:tcPr>
          <w:tcPr>
            <w:vAlign w:val="center"/>
          </w:tcPr>
          <w:p>
            <w:pPr>
              <w:jc w:val="center"/>
            </w:pPr>
            <w:r/>
            <w:r>
              <w:rPr xsi:nil="true"/>
              <w:t xml:space="preserve">  60</w:t>
            </w:r>
          </w:p>
        </w:tc>
        <w:tc>
          <w:tcPr>
            <w:tcBorders/>
          </w:tcPr>
          <w:tcPr>
            <w:vAlign w:val="center"/>
          </w:tcPr>
          <w:p>
            <w:pPr>
              <w:jc w:val="center"/>
            </w:pPr>
            <w:r/>
            <w:r>
              <w:rPr xsi:nil="true"/>
              <w:t>0.011</w:t>
            </w:r>
            <w:r>
              <w:rPr xsi:nil="true">
                <w:vertAlign w:val="superscript"/>
              </w:rPr>
              <w:t>*</w:t>
            </w:r>
          </w:p>
        </w:tc>
        <w:tc>
          <w:tcPr>
            <w:tcBorders/>
          </w:tcPr>
          <w:tcPr>
            <w:vAlign w:val="center"/>
          </w:tcPr>
          <w:p>
            <w:pPr>
              <w:jc w:val="center"/>
            </w:pPr>
            <w:r/>
            <w:r>
              <w:rPr xsi:nil="true"/>
              <w:t>0.008</w:t>
            </w:r>
            <w:r>
              <w:rPr xsi:nil="true">
                <w:vertAlign w:val="superscript"/>
              </w:rPr>
              <w:t>#</w:t>
            </w:r>
          </w:p>
        </w:tc>
      </w:tr>
      <w:tr>
        <w:tc>
          <w:tcPr>
            <w:tcBorders/>
          </w:tcPr>
          <w:tcPr>
            <w:vAlign w:val="center"/>
          </w:tcPr>
          <w:p>
            <w:pPr>
              <w:jc w:val="center"/>
            </w:pPr>
            <w:r/>
            <w:r>
              <w:rPr xsi:nil="true"/>
              <w:t xml:space="preserve">  80</w:t>
            </w:r>
          </w:p>
        </w:tc>
        <w:tc>
          <w:tcPr>
            <w:tcBorders/>
          </w:tcPr>
          <w:tcPr>
            <w:vAlign w:val="center"/>
          </w:tcPr>
          <w:p>
            <w:pPr>
              <w:jc w:val="center"/>
            </w:pPr>
            <w:r/>
            <w:r>
              <w:rPr xsi:nil="true"/>
              <w:t>0.011</w:t>
            </w:r>
            <w:r>
              <w:rPr xsi:nil="true">
                <w:vertAlign w:val="superscript"/>
              </w:rPr>
              <w:t>*</w:t>
            </w:r>
          </w:p>
        </w:tc>
        <w:tc>
          <w:tcPr>
            <w:tcBorders/>
          </w:tcPr>
          <w:tcPr>
            <w:vAlign w:val="center"/>
          </w:tcPr>
          <w:p>
            <w:pPr>
              <w:jc w:val="center"/>
            </w:pPr>
            <w:r/>
            <w:r>
              <w:rPr xsi:nil="true"/>
              <w:t>0.009</w:t>
            </w:r>
            <w:r>
              <w:rPr xsi:nil="true">
                <w:vertAlign w:val="superscript"/>
              </w:rPr>
              <w:t>#</w:t>
            </w:r>
          </w:p>
        </w:tc>
      </w:tr>
      <w:tr>
        <w:tc>
          <w:tcPr>
            <w:tcBorders>
              <w:bottom w:val="basicThinLines"/>
            </w:tcBorders>
          </w:tcPr>
          <w:tcPr>
            <w:vAlign w:val="center"/>
          </w:tcPr>
          <w:p>
            <w:pPr>
              <w:jc w:val="center"/>
            </w:pPr>
            <w:r/>
            <w:r>
              <w:rPr xsi:nil="true"/>
              <w:t>100</w:t>
            </w:r>
          </w:p>
        </w:tc>
        <w:tc>
          <w:tcPr>
            <w:tcBorders>
              <w:bottom w:val="basicThinLines"/>
            </w:tcBorders>
          </w:tcPr>
          <w:tcPr>
            <w:vAlign w:val="center"/>
          </w:tcPr>
          <w:p>
            <w:pPr>
              <w:jc w:val="center"/>
            </w:pPr>
            <w:r/>
            <w:r>
              <w:rPr xsi:nil="true"/>
              <w:t>0.015</w:t>
            </w:r>
            <w:r>
              <w:rPr xsi:nil="true">
                <w:vertAlign w:val="superscript"/>
              </w:rPr>
              <w:t>*</w:t>
            </w:r>
          </w:p>
        </w:tc>
        <w:tc>
          <w:tcPr>
            <w:tcBorders>
              <w:bottom w:val="basicThinLines"/>
            </w:tcBorders>
          </w:tcPr>
          <w:tcPr>
            <w:vAlign w:val="center"/>
          </w:tcPr>
          <w:p>
            <w:pPr>
              <w:jc w:val="center"/>
            </w:pPr>
            <w:r/>
            <w:r>
              <w:rPr xsi:nil="true"/>
              <w:t>0.011</w:t>
            </w:r>
            <w:r>
              <w:rPr xsi:nil="true">
                <w:vertAlign w:val="superscript"/>
              </w:rPr>
              <w:t>#</w:t>
            </w:r>
          </w:p>
        </w:tc>
      </w:tr>
      <w:tr>
        <w:tc>
          <w:tcPr>
            <w:hMerge w:val="restart"/>
          </w:tcPr>
          <w:tcPr>
            <w:tcBorders/>
          </w:tcPr>
          <w:tcPr>
            <w:vAlign w:val="center"/>
          </w:tcPr>
          <w:p>
            <w:pPr>
              <w:jc w:val="left"/>
            </w:pPr>
            <w:r/>
            <w:r>
              <w:rPr xsi:nil="true"/>
              <w:t xml:space="preserve">Values are expressed as the mean of triplicate samples. </w:t>
            </w:r>
            <w:r>
              <w:rPr xsi:nil="true">
                <w:vertAlign w:val="superscript"/>
              </w:rPr>
              <w:t>*</w:t>
            </w:r>
            <w:r>
              <w:rPr xsi:nil="true">
                <w:i w:val="true"/>
              </w:rPr>
              <w:t>P</w:t>
            </w:r>
            <w:r>
              <w:rPr xsi:nil="true"/>
              <w:t xml:space="preserve"> </w:t>
            </w:r>
            <w:r>
              <w:rPr xsi:nil="true"/>
              <w:t>&lt;</w:t>
            </w:r>
            <w:r>
              <w:rPr xsi:nil="true"/>
              <w:t xml:space="preserve">0.05, compared with 20 µg/mL standard (Cystone); </w:t>
            </w:r>
            <w:r>
              <w:rPr xsi:nil="true">
                <w:vertAlign w:val="superscript"/>
              </w:rPr>
              <w:t>#</w:t>
            </w:r>
            <w:r>
              <w:rPr xsi:nil="true">
                <w:i w:val="true"/>
              </w:rPr>
              <w:t>P</w:t>
            </w:r>
            <w:r>
              <w:rPr xsi:nil="true"/>
              <w:t xml:space="preserve"> </w:t>
            </w:r>
            <w:r>
              <w:rPr xsi:nil="true"/>
              <w:t>&lt;</w:t>
            </w:r>
            <w:r>
              <w:rPr xsi:nil="true"/>
              <w:t>0.05, compared with 20 µg/mL test (HAEAL).</w:t>
            </w:r>
          </w:p>
        </w:tc>
        <w:tc>
          <w:tcPr>
            <w:hMerge w:val="continue"/>
          </w:tcPr>
          <w:p/>
        </w:tc>
        <w:tc>
          <w:tcPr>
            <w:hMerge w:val="continue"/>
          </w:tcPr>
          <w:p/>
        </w:tc>
      </w:tr>
      <w:tr>
        <w:tc>
          <w:p/>
        </w:tc>
        <w:tc>
          <w:p/>
        </w:tc>
        <w:tc>
          <w:p/>
        </w:tc>
      </w:tr>
    </w:tbl>
    <w:p>
      <w:pPr>
        <w:ind w:firstLine="420"/>
        <w:rPr>
          <w:rFonts w:ascii="Times New Roman" w:hAnsi="宋体"/>
          <w:sz w:val="24"/>
          <w:szCs w:val="24"/>
        </w:rPr>
      </w:pPr>
    </w:p>
    <w:p>
      <w:pPr>
        <w:spacing w:before="200" w:after="100"/>
        <w:jc w:val="center"/>
      </w:pPr>
      <w:r>
        <w:drawing>
          <wp:inline distT="0" distR="0" distB="0" distL="0">
            <wp:extent cx="2736342" cy="1209637"/>
            <wp:docPr id="0" name="Drawing 0" descr="Gowri-1.jpg"/>
            <a:graphic xmlns:a="http://schemas.openxmlformats.org/drawingml/2006/main">
              <a:graphicData uri="http://schemas.openxmlformats.org/drawingml/2006/picture">
                <pic:pic xmlns:pic="http://schemas.openxmlformats.org/drawingml/2006/picture">
                  <pic:nvPicPr>
                    <pic:cNvPr id="0" name="Picture 0" descr="Gowri-1.jpg"/>
                    <pic:cNvPicPr>
                      <a:picLocks noChangeAspect="true"/>
                    </pic:cNvPicPr>
                  </pic:nvPicPr>
                  <pic:blipFill>
                    <a:blip r:embed="rId9"/>
                    <a:stretch>
                      <a:fillRect/>
                    </a:stretch>
                  </pic:blipFill>
                  <pic:spPr>
                    <a:xfrm>
                      <a:off x="0" y="0"/>
                      <a:ext cx="2736342" cy="1209637"/>
                    </a:xfrm>
                    <a:prstGeom prst="rect">
                      <a:avLst/>
                    </a:prstGeom>
                  </pic:spPr>
                </pic:pic>
              </a:graphicData>
            </a:graphic>
          </wp:inline>
        </w:drawing>
      </w:r>
    </w:p>
    <w:p>
      <w:pPr>
        <w:spacing w:after="200"/>
        <w:jc w:val="center"/>
      </w:pPr>
      <w:r>
        <w:rPr>
          <w:b w:val="true"/>
        </w:rPr>
        <w:t xml:space="preserve">Fig. 1  </w:t>
      </w:r>
      <w:r>
        <w:rPr>
          <w:b w:val="true"/>
        </w:rPr>
        <w:t>Crystal aggregation assay showing crystal morphology</w:t>
      </w:r>
    </w:p>
    <w:p>
      <w:pPr>
        <w:spacing w:before="156" w:beforeLines="50" w:line="360" w:lineRule="auto"/>
        <w:jc w:val="left"/>
        <w:rPr>
          <w:rFonts w:ascii="Times New Roman" w:hAnsi="宋体"/>
          <w:sz w:val="24"/>
          <w:szCs w:val="24"/>
        </w:rPr>
      </w:pPr>
      <w:r>
        <w:rPr>
          <w:rFonts w:ascii="Times New Roman" w:hAnsi="宋体" w:hint="eastAsia"/>
          <w:b/>
          <w:sz w:val="24"/>
          <w:szCs w:val="32"/>
        </w:rPr>
        <w:t>3.2.3  Growth of calcium oxalate crystals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rate of calcium oxalate crystal growth was determined as described previously </w:t>
      </w:r>
      <w:r>
        <w:rPr>
          <w:rFonts w:ascii="Times New Roman" w:hAnsi="宋体" w:hint="eastAsia"/>
          <w:sz w:val="24"/>
          <w:szCs w:val="24"/>
          <w:vertAlign w:val="superscript"/>
        </w:rPr>
        <w:t>[</w:t>
      </w:r>
      <w:r>
        <w:rPr>
          <w:rFonts w:ascii="Times New Roman" w:hAnsi="宋体" w:hint="eastAsia"/>
          <w:sz w:val="24"/>
          <w:szCs w:val="24"/>
          <w:vertAlign w:val="superscript"/>
        </w:rPr>
        <w:t>43</w:t>
      </w:r>
      <w:r>
        <w:rPr>
          <w:rFonts w:ascii="Times New Roman" w:hAnsi="宋体" w:hint="eastAsia"/>
          <w:sz w:val="24"/>
          <w:szCs w:val="24"/>
          <w:vertAlign w:val="superscript"/>
        </w:rPr>
        <w:t>]</w:t>
      </w:r>
      <w:r>
        <w:rPr>
          <w:rFonts w:ascii="Times New Roman" w:hAnsi="宋体" w:hint="eastAsia"/>
          <w:sz w:val="24"/>
          <w:szCs w:val="24"/>
        </w:rPr>
        <w:t xml:space="preserve">, and the results are shown in </w:t>
      </w:r>
      <w:r>
        <w:rPr>
          <w:rFonts w:ascii="Times New Roman" w:hAnsi="宋体" w:hint="eastAsia"/>
          <w:sz w:val="24"/>
          <w:szCs w:val="24"/>
        </w:rPr>
        <w:t>Table 4</w:t>
      </w:r>
      <w:r>
        <w:rPr>
          <w:rFonts w:ascii="Times New Roman" w:hAnsi="宋体" w:hint="eastAsia"/>
          <w:sz w:val="24"/>
          <w:szCs w:val="24"/>
        </w:rPr>
        <w:t xml:space="preserve">. The absorbance in the presence of HAEAL at various concentrations was measured at 214 nm. The </w:t>
      </w:r>
      <w:r>
        <w:rPr>
          <w:rFonts w:ascii="Times New Roman" w:hAnsi="宋体" w:hint="eastAsia"/>
          <w:i w:val="true"/>
          <w:sz w:val="24"/>
          <w:szCs w:val="24"/>
        </w:rPr>
        <w:t>in vitro</w:t>
      </w:r>
      <w:r>
        <w:rPr>
          <w:rFonts w:ascii="Times New Roman" w:hAnsi="宋体" w:hint="eastAsia"/>
          <w:sz w:val="24"/>
          <w:szCs w:val="24"/>
        </w:rPr>
        <w:t xml:space="preserve"> inhibitory effect of HAEAL on various growth phases was determined by measuring the turbidity and absorbance rate. HAEAL at 100 µg/mL concentration resulted in the lowest turbidity and highest absorbance, and inhibited crystal formation.</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4 </w:t>
      </w:r>
      <w:r>
        <w:rPr>
          <w:rFonts w:ascii="Times New Roman" w:hAnsi="宋体" w:hint="eastAsia"/>
          <w:sz w:val="24"/>
          <w:szCs w:val="24"/>
        </w:rPr>
        <w:t xml:space="preserve"> Growth of calcium oxalate crystals</w:t>
      </w:r>
    </w:p>
    <w:tbl>
      <w:tblPr>
        <w:tblStyleColBandSize w:val="30"/>
        <w:tblW w:w="55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Concentration</w:t>
            </w:r>
            <w:r>
              <w:rPr xsi:nil="true"/>
              <w:t xml:space="preserve"> </w:t>
            </w:r>
            <w:r>
              <w:rPr xsi:nil="true">
                <w:b w:val="true"/>
              </w:rPr>
              <w:t xml:space="preserve"> (µg/mL)</w:t>
            </w:r>
          </w:p>
        </w:tc>
        <w:tc>
          <w:tcPr>
            <w:tcBorders>
              <w:top w:val="basicThinLines"/>
            </w:tcBorders>
          </w:tcPr>
          <w:tcPr>
            <w:vAlign w:val="center"/>
          </w:tcPr>
          <w:p>
            <w:pPr>
              <w:jc w:val="center"/>
            </w:pPr>
            <w:r/>
            <w:r>
              <w:rPr xsi:nil="true">
                <w:b w:val="true"/>
              </w:rPr>
              <w:t>Standard</w:t>
            </w:r>
            <w:r>
              <w:rPr xsi:nil="true"/>
              <w:t xml:space="preserve"> </w:t>
            </w:r>
            <w:r>
              <w:rPr xsi:nil="true">
                <w:b w:val="true"/>
              </w:rPr>
              <w:t>(Cystone)</w:t>
            </w:r>
          </w:p>
        </w:tc>
        <w:tc>
          <w:tcPr>
            <w:tcBorders>
              <w:top w:val="basicThinLines"/>
            </w:tcBorders>
          </w:tcPr>
          <w:tcPr>
            <w:vAlign w:val="center"/>
          </w:tcPr>
          <w:p>
            <w:pPr>
              <w:jc w:val="center"/>
            </w:pPr>
            <w:r/>
            <w:r>
              <w:rPr xsi:nil="true">
                <w:b w:val="true"/>
              </w:rPr>
              <w:t>Test</w:t>
            </w:r>
            <w:r>
              <w:rPr xsi:nil="true"/>
              <w:t xml:space="preserve"> </w:t>
            </w:r>
            <w:r>
              <w:rPr xsi:nil="true">
                <w:b w:val="true"/>
              </w:rPr>
              <w:t>(HAEAL )</w:t>
            </w:r>
          </w:p>
        </w:tc>
      </w:tr>
      <w:tr>
        <w:tc>
          <w:tcPr>
            <w:tcBorders>
              <w:top w:val="basicThinLines"/>
            </w:tcBorders>
          </w:tcPr>
          <w:tcPr>
            <w:vAlign w:val="center"/>
          </w:tcPr>
          <w:p>
            <w:pPr>
              <w:jc w:val="center"/>
            </w:pPr>
            <w:r/>
            <w:r>
              <w:rPr xsi:nil="true"/>
              <w:t xml:space="preserve">  20</w:t>
            </w:r>
          </w:p>
        </w:tc>
        <w:tc>
          <w:tcPr>
            <w:tcBorders>
              <w:top w:val="basicThinLines"/>
            </w:tcBorders>
          </w:tcPr>
          <w:tcPr>
            <w:vAlign w:val="center"/>
          </w:tcPr>
          <w:p>
            <w:pPr>
              <w:jc w:val="center"/>
            </w:pPr>
            <w:r/>
            <w:r>
              <w:rPr xsi:nil="true"/>
              <w:t xml:space="preserve">0.232  </w:t>
            </w:r>
          </w:p>
        </w:tc>
        <w:tc>
          <w:tcPr>
            <w:tcBorders>
              <w:top w:val="basicThinLines"/>
            </w:tcBorders>
          </w:tcPr>
          <w:tcPr>
            <w:vAlign w:val="center"/>
          </w:tcPr>
          <w:p>
            <w:pPr>
              <w:jc w:val="center"/>
            </w:pPr>
            <w:r/>
            <w:r>
              <w:rPr xsi:nil="true"/>
              <w:t xml:space="preserve">0.214  </w:t>
            </w:r>
          </w:p>
        </w:tc>
      </w:tr>
      <w:tr>
        <w:tc>
          <w:tcPr>
            <w:tcBorders/>
          </w:tcPr>
          <w:tcPr>
            <w:vAlign w:val="center"/>
          </w:tcPr>
          <w:p>
            <w:pPr>
              <w:jc w:val="center"/>
            </w:pPr>
            <w:r/>
            <w:r>
              <w:rPr xsi:nil="true"/>
              <w:t xml:space="preserve">  40</w:t>
            </w:r>
          </w:p>
        </w:tc>
        <w:tc>
          <w:tcPr>
            <w:tcBorders/>
          </w:tcPr>
          <w:tcPr>
            <w:vAlign w:val="center"/>
          </w:tcPr>
          <w:p>
            <w:pPr>
              <w:jc w:val="center"/>
            </w:pPr>
            <w:r/>
            <w:r>
              <w:rPr xsi:nil="true"/>
              <w:t>0.384</w:t>
            </w:r>
            <w:r>
              <w:rPr xsi:nil="true">
                <w:vertAlign w:val="superscript"/>
              </w:rPr>
              <w:t>*</w:t>
            </w:r>
          </w:p>
        </w:tc>
        <w:tc>
          <w:tcPr>
            <w:tcBorders/>
          </w:tcPr>
          <w:tcPr>
            <w:vAlign w:val="center"/>
          </w:tcPr>
          <w:p>
            <w:pPr>
              <w:jc w:val="center"/>
            </w:pPr>
            <w:r/>
            <w:r>
              <w:rPr xsi:nil="true"/>
              <w:t>0.270</w:t>
            </w:r>
            <w:r>
              <w:rPr xsi:nil="true">
                <w:vertAlign w:val="superscript"/>
              </w:rPr>
              <w:t>#</w:t>
            </w:r>
          </w:p>
        </w:tc>
      </w:tr>
      <w:tr>
        <w:tc>
          <w:tcPr>
            <w:tcBorders/>
          </w:tcPr>
          <w:tcPr>
            <w:vAlign w:val="center"/>
          </w:tcPr>
          <w:p>
            <w:pPr>
              <w:jc w:val="center"/>
            </w:pPr>
            <w:r/>
            <w:r>
              <w:rPr xsi:nil="true"/>
              <w:t xml:space="preserve">  60</w:t>
            </w:r>
          </w:p>
        </w:tc>
        <w:tc>
          <w:tcPr>
            <w:tcBorders/>
          </w:tcPr>
          <w:tcPr>
            <w:vAlign w:val="center"/>
          </w:tcPr>
          <w:p>
            <w:pPr>
              <w:jc w:val="center"/>
            </w:pPr>
            <w:r/>
            <w:r>
              <w:rPr xsi:nil="true"/>
              <w:t>0.351</w:t>
            </w:r>
            <w:r>
              <w:rPr xsi:nil="true">
                <w:vertAlign w:val="superscript"/>
              </w:rPr>
              <w:t>*</w:t>
            </w:r>
          </w:p>
        </w:tc>
        <w:tc>
          <w:tcPr>
            <w:tcBorders/>
          </w:tcPr>
          <w:tcPr>
            <w:vAlign w:val="center"/>
          </w:tcPr>
          <w:p>
            <w:pPr>
              <w:jc w:val="center"/>
            </w:pPr>
            <w:r/>
            <w:r>
              <w:rPr xsi:nil="true"/>
              <w:t>0.342</w:t>
            </w:r>
            <w:r>
              <w:rPr xsi:nil="true">
                <w:vertAlign w:val="superscript"/>
              </w:rPr>
              <w:t>#</w:t>
            </w:r>
          </w:p>
        </w:tc>
      </w:tr>
      <w:tr>
        <w:tc>
          <w:tcPr>
            <w:tcBorders/>
          </w:tcPr>
          <w:tcPr>
            <w:vAlign w:val="center"/>
          </w:tcPr>
          <w:p>
            <w:pPr>
              <w:jc w:val="center"/>
            </w:pPr>
            <w:r/>
            <w:r>
              <w:rPr xsi:nil="true"/>
              <w:t xml:space="preserve">  80</w:t>
            </w:r>
          </w:p>
        </w:tc>
        <w:tc>
          <w:tcPr>
            <w:tcBorders/>
          </w:tcPr>
          <w:tcPr>
            <w:vAlign w:val="center"/>
          </w:tcPr>
          <w:p>
            <w:pPr>
              <w:jc w:val="center"/>
            </w:pPr>
            <w:r/>
            <w:r>
              <w:rPr xsi:nil="true"/>
              <w:t>0.440</w:t>
            </w:r>
            <w:r>
              <w:rPr xsi:nil="true">
                <w:vertAlign w:val="superscript"/>
              </w:rPr>
              <w:t>*</w:t>
            </w:r>
          </w:p>
        </w:tc>
        <w:tc>
          <w:tcPr>
            <w:tcBorders/>
          </w:tcPr>
          <w:tcPr>
            <w:vAlign w:val="center"/>
          </w:tcPr>
          <w:p>
            <w:pPr>
              <w:jc w:val="center"/>
            </w:pPr>
            <w:r/>
            <w:r>
              <w:rPr xsi:nil="true"/>
              <w:t>0.432</w:t>
            </w:r>
            <w:r>
              <w:rPr xsi:nil="true">
                <w:vertAlign w:val="superscript"/>
              </w:rPr>
              <w:t>#</w:t>
            </w:r>
          </w:p>
        </w:tc>
      </w:tr>
      <w:tr>
        <w:tc>
          <w:tcPr>
            <w:tcBorders>
              <w:bottom w:val="basicThinLines"/>
            </w:tcBorders>
          </w:tcPr>
          <w:tcPr>
            <w:vAlign w:val="center"/>
          </w:tcPr>
          <w:p>
            <w:pPr>
              <w:jc w:val="center"/>
            </w:pPr>
            <w:r/>
            <w:r>
              <w:rPr xsi:nil="true"/>
              <w:t>100</w:t>
            </w:r>
          </w:p>
        </w:tc>
        <w:tc>
          <w:tcPr>
            <w:tcBorders>
              <w:bottom w:val="basicThinLines"/>
            </w:tcBorders>
          </w:tcPr>
          <w:tcPr>
            <w:vAlign w:val="center"/>
          </w:tcPr>
          <w:p>
            <w:pPr>
              <w:jc w:val="center"/>
            </w:pPr>
            <w:r/>
            <w:r>
              <w:rPr xsi:nil="true"/>
              <w:t>0.504</w:t>
            </w:r>
            <w:r>
              <w:rPr xsi:nil="true">
                <w:vertAlign w:val="superscript"/>
              </w:rPr>
              <w:t>*</w:t>
            </w:r>
          </w:p>
        </w:tc>
        <w:tc>
          <w:tcPr>
            <w:tcBorders>
              <w:bottom w:val="basicThinLines"/>
            </w:tcBorders>
          </w:tcPr>
          <w:tcPr>
            <w:vAlign w:val="center"/>
          </w:tcPr>
          <w:p>
            <w:pPr>
              <w:jc w:val="center"/>
            </w:pPr>
            <w:r/>
            <w:r>
              <w:rPr xsi:nil="true"/>
              <w:t>0.497</w:t>
            </w:r>
            <w:r>
              <w:rPr xsi:nil="true">
                <w:vertAlign w:val="superscript"/>
              </w:rPr>
              <w:t>#</w:t>
            </w:r>
          </w:p>
        </w:tc>
      </w:tr>
      <w:tr>
        <w:tc>
          <w:tcPr>
            <w:hMerge w:val="restart"/>
          </w:tcPr>
          <w:tcPr>
            <w:tcBorders/>
          </w:tcPr>
          <w:tcPr>
            <w:vAlign w:val="center"/>
          </w:tcPr>
          <w:p>
            <w:pPr>
              <w:jc w:val="left"/>
            </w:pPr>
            <w:r/>
            <w:r>
              <w:rPr xsi:nil="true"/>
              <w:t xml:space="preserve">Values are expressed as the mean of triplicate samples. </w:t>
            </w:r>
            <w:r>
              <w:rPr xsi:nil="true">
                <w:vertAlign w:val="superscript"/>
              </w:rPr>
              <w:t>*</w:t>
            </w:r>
            <w:r>
              <w:rPr xsi:nil="true">
                <w:i w:val="true"/>
              </w:rPr>
              <w:t>P</w:t>
            </w:r>
            <w:r>
              <w:rPr xsi:nil="true"/>
              <w:t xml:space="preserve"> </w:t>
            </w:r>
            <w:r>
              <w:rPr xsi:nil="true"/>
              <w:t>&lt;</w:t>
            </w:r>
            <w:r>
              <w:rPr xsi:nil="true"/>
              <w:t xml:space="preserve">0.05, compared with 20 µg/mL standard (Cystone); </w:t>
            </w:r>
            <w:r>
              <w:rPr xsi:nil="true">
                <w:vertAlign w:val="superscript"/>
              </w:rPr>
              <w:t>#</w:t>
            </w:r>
            <w:r>
              <w:rPr xsi:nil="true">
                <w:i w:val="true"/>
              </w:rPr>
              <w:t>P</w:t>
            </w:r>
            <w:r>
              <w:rPr xsi:nil="true"/>
              <w:t xml:space="preserve"> </w:t>
            </w:r>
            <w:r>
              <w:rPr xsi:nil="true"/>
              <w:t>&lt;</w:t>
            </w:r>
            <w:r>
              <w:rPr xsi:nil="true"/>
              <w:t xml:space="preserve"> 0.05, compared </w:t>
            </w:r>
            <w:r>
              <w:rPr xsi:nil="true"/>
              <w:t>with</w:t>
            </w:r>
            <w:r>
              <w:rPr xsi:nil="true"/>
              <w:t xml:space="preserve"> 20 µg/mL test (HAEAL).</w:t>
            </w:r>
          </w:p>
        </w:tc>
        <w:tc>
          <w:tcPr>
            <w:hMerge w:val="continue"/>
          </w:tcPr>
          <w:p/>
        </w:tc>
        <w:tc>
          <w:tcPr>
            <w:hMerge w:val="continue"/>
          </w:tcPr>
          <w:p/>
        </w:tc>
      </w:tr>
      <w:tr>
        <w:tc>
          <w:p/>
        </w:tc>
        <w:tc>
          <w:p/>
        </w:tc>
        <w:tc>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3.3  Effects of HAEAL on ethylene glycol-induced nephrolithiasis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Ethylene glycol was administered to rats to induce formation of oxalate stone, and it showed changes in urinary and serum parameters. Successful induction of stone was confirmed by reduction in body weight and changes in urine volume and pH value.</w:t>
      </w:r>
    </w:p>
    <w:p>
      <w:pPr>
        <w:spacing w:before="156" w:beforeLines="50" w:line="360" w:lineRule="auto"/>
        <w:jc w:val="left"/>
        <w:rPr>
          <w:rFonts w:ascii="Times New Roman" w:hAnsi="宋体"/>
          <w:sz w:val="24"/>
          <w:szCs w:val="24"/>
        </w:rPr>
      </w:pPr>
      <w:r>
        <w:rPr>
          <w:rFonts w:ascii="Times New Roman" w:hAnsi="宋体" w:hint="eastAsia"/>
          <w:b/>
          <w:sz w:val="24"/>
          <w:szCs w:val="32"/>
        </w:rPr>
        <w:t>3.3.1  Biochemical parameters of urine and serum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results of urine and serum analyses are shown in </w:t>
      </w:r>
      <w:r>
        <w:rPr>
          <w:rFonts w:ascii="Times New Roman" w:hAnsi="宋体" w:hint="eastAsia"/>
          <w:sz w:val="24"/>
          <w:szCs w:val="24"/>
        </w:rPr>
        <w:t>Table 5</w:t>
      </w:r>
      <w:r>
        <w:rPr>
          <w:rFonts w:ascii="Times New Roman" w:hAnsi="宋体" w:hint="eastAsia"/>
          <w:sz w:val="24"/>
          <w:szCs w:val="24"/>
        </w:rPr>
        <w:t>. Uric acid concentration was higher in the positive control group than that in the negative control group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0.0001). Furthermore, the concentration was reduced upon treatment with either Cystone or HAEAL, but HAEAL could be further isolated for compounds to show better results than standard drug. Oxalate and phosphorous levels were the highest in the positive control group. The high dose HAEAL group had lower calcium levels than the positive control group [(1.19 ± 0.02) mg/dL vs. (6.30 ± 0.02) mg/dL] at the end of the study period (day 28). From the analysis, we concluded that, compared with the positive control group, the HAEAL had reduced levels of uric acid, oxalate, phosphorous, and calcium. Effects of HAEAL on urine and serum parameters are mentioned in </w:t>
      </w:r>
      <w:r>
        <w:rPr>
          <w:rFonts w:ascii="Times New Roman" w:hAnsi="宋体" w:hint="eastAsia"/>
          <w:sz w:val="24"/>
          <w:szCs w:val="24"/>
        </w:rPr>
        <w:t>Figure 2</w:t>
      </w:r>
      <w:r>
        <w:rPr>
          <w:rFonts w:ascii="Times New Roman" w:hAnsi="宋体" w:hint="eastAsia"/>
          <w:sz w:val="24"/>
          <w:szCs w:val="24"/>
        </w:rPr>
        <w:t>.</w:t>
      </w:r>
    </w:p>
    <w:p>
      <w:pPr>
        <w:spacing w:before="200" w:after="100"/>
        <w:jc w:val="center"/>
      </w:pPr>
      <w:r>
        <w:drawing>
          <wp:inline distT="0" distR="0" distB="0" distL="0">
            <wp:extent cx="2736342" cy="2293315"/>
            <wp:docPr id="1" name="Drawing 1" descr="Gowri-2.jpg"/>
            <a:graphic xmlns:a="http://schemas.openxmlformats.org/drawingml/2006/main">
              <a:graphicData uri="http://schemas.openxmlformats.org/drawingml/2006/picture">
                <pic:pic xmlns:pic="http://schemas.openxmlformats.org/drawingml/2006/picture">
                  <pic:nvPicPr>
                    <pic:cNvPr id="0" name="Picture 1" descr="Gowri-2.jpg"/>
                    <pic:cNvPicPr>
                      <a:picLocks noChangeAspect="true"/>
                    </pic:cNvPicPr>
                  </pic:nvPicPr>
                  <pic:blipFill>
                    <a:blip r:embed="rId10"/>
                    <a:stretch>
                      <a:fillRect/>
                    </a:stretch>
                  </pic:blipFill>
                  <pic:spPr>
                    <a:xfrm>
                      <a:off x="0" y="0"/>
                      <a:ext cx="2736342" cy="2293315"/>
                    </a:xfrm>
                    <a:prstGeom prst="rect">
                      <a:avLst/>
                    </a:prstGeom>
                  </pic:spPr>
                </pic:pic>
              </a:graphicData>
            </a:graphic>
          </wp:inline>
        </w:drawing>
      </w:r>
    </w:p>
    <w:p>
      <w:pPr>
        <w:spacing w:after="200"/>
        <w:jc w:val="center"/>
      </w:pPr>
      <w:r>
        <w:rPr>
          <w:b w:val="true"/>
        </w:rPr>
        <w:t xml:space="preserve">Fig. 2  </w:t>
      </w:r>
      <w:r>
        <w:rPr>
          <w:b w:val="true"/>
        </w:rPr>
        <w:t>Effects of HAEAL on urine and serum parameters</w:t>
      </w:r>
    </w:p>
    <w:p>
      <w:pPr>
        <w:jc w:val="center"/>
      </w:pPr>
      <w:r>
        <w:t xml:space="preserve">A, urinary calcium. B, urinary oxalate. C, urinary phosphorous. D, serum uric acid. E, serum creatinine. </w:t>
      </w:r>
      <w:r>
        <w:rPr xsi:nil="true">
          <w:vertAlign w:val="superscript"/>
        </w:rPr>
        <w:t>**</w:t>
      </w:r>
      <w:r>
        <w:rPr xsi:nil="true">
          <w:i w:val="true"/>
        </w:rPr>
        <w:t>P</w:t>
      </w:r>
      <w:r>
        <w:rPr xsi:nil="true"/>
        <w:t xml:space="preserve"> &lt; 0.01, </w:t>
      </w:r>
      <w:r>
        <w:rPr xsi:nil="true">
          <w:vertAlign w:val="superscript"/>
        </w:rPr>
        <w:t>***</w:t>
      </w:r>
      <w:r>
        <w:rPr xsi:nil="true"/>
        <w:t xml:space="preserve"> </w:t>
      </w:r>
      <w:r>
        <w:rPr xsi:nil="true">
          <w:i w:val="true"/>
        </w:rPr>
        <w:t>P</w:t>
      </w:r>
      <w:r>
        <w:rPr xsi:nil="true"/>
        <w:t xml:space="preserve"> &lt; 0.001 represents statistically significant.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5 </w:t>
      </w:r>
      <w:r>
        <w:rPr>
          <w:rFonts w:ascii="Times New Roman" w:hAnsi="宋体" w:hint="eastAsia"/>
          <w:sz w:val="24"/>
          <w:szCs w:val="24"/>
        </w:rPr>
        <w:t xml:space="preserve"> Analysis of urine and serum parameters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vMerge w:val="restart"/>
          </w:tcPr>
          <w:tcPr>
            <w:tcBorders>
              <w:top w:val="basicThinLines"/>
            </w:tcBorders>
          </w:tcPr>
          <w:tcPr>
            <w:vAlign w:val="center"/>
          </w:tcPr>
          <w:p>
            <w:pPr>
              <w:jc w:val="center"/>
            </w:pPr>
            <w:r/>
            <w:r>
              <w:rPr xsi:nil="true">
                <w:b w:val="true"/>
              </w:rPr>
              <w:t>Group</w:t>
            </w:r>
          </w:p>
        </w:tc>
        <w:tc>
          <w:tcPr>
            <w:hMerge w:val="restart"/>
          </w:tcPr>
          <w:tcPr>
            <w:tcBorders>
              <w:top w:val="basicThinLines"/>
            </w:tcBorders>
          </w:tcPr>
          <w:tcPr>
            <w:vAlign w:val="center"/>
          </w:tcPr>
          <w:p>
            <w:pPr>
              <w:jc w:val="center"/>
            </w:pPr>
            <w:r/>
            <w:r>
              <w:rPr xsi:nil="true">
                <w:b w:val="true"/>
              </w:rPr>
              <w:t>Urine parameter</w:t>
            </w:r>
          </w:p>
        </w:tc>
        <w:tc>
          <w:tcPr>
            <w:hMerge w:val="continue"/>
          </w:tcPr>
          <w:p/>
        </w:tc>
        <w:tc>
          <w:tcPr>
            <w:hMerge w:val="continue"/>
          </w:tcPr>
          <w:p/>
        </w:tc>
        <w:tc>
          <w:tcPr>
            <w:vMerge w:val="restart"/>
          </w:tcPr>
          <w:tcPr>
            <w:tcBorders>
              <w:top w:val="basicThinLines"/>
            </w:tcBorders>
          </w:tcPr>
          <w:tcPr>
            <w:vAlign w:val="center"/>
          </w:tcPr>
          <w:p>
            <w:pPr>
              <w:jc w:val="center"/>
            </w:pPr>
            <w:r/>
          </w:p>
        </w:tc>
        <w:tc>
          <w:tcPr>
            <w:hMerge w:val="restart"/>
          </w:tcPr>
          <w:tcPr>
            <w:tcBorders>
              <w:top w:val="basicThinLines"/>
            </w:tcBorders>
          </w:tcPr>
          <w:tcPr>
            <w:vAlign w:val="center"/>
          </w:tcPr>
          <w:p>
            <w:pPr>
              <w:jc w:val="center"/>
            </w:pPr>
            <w:r/>
            <w:r>
              <w:rPr xsi:nil="true">
                <w:b w:val="true"/>
              </w:rPr>
              <w:t>Serum parameter</w:t>
            </w:r>
          </w:p>
        </w:tc>
        <w:tc>
          <w:tcPr>
            <w:hMerge w:val="continue"/>
          </w:tcPr>
          <w:p/>
        </w:tc>
        <w:tc>
          <w:tcPr>
            <w:vMerge w:val="restart"/>
          </w:tcPr>
          <w:tcPr>
            <w:tcBorders>
              <w:top w:val="basicThinLines"/>
            </w:tcBorders>
          </w:tcPr>
          <w:tcPr>
            <w:vAlign w:val="center"/>
          </w:tcPr>
          <w:p>
            <w:pPr>
              <w:jc w:val="center"/>
            </w:pPr>
            <w:r/>
            <w:r>
              <w:rPr xsi:nil="true">
                <w:b w:val="true"/>
                <w:i w:val="true"/>
              </w:rPr>
              <w:t>P</w:t>
            </w:r>
            <w:r>
              <w:rPr xsi:nil="true"/>
              <w:t xml:space="preserve"> </w:t>
            </w:r>
            <w:r>
              <w:rPr xsi:nil="true">
                <w:b w:val="true"/>
              </w:rPr>
              <w:t>value</w:t>
            </w:r>
          </w:p>
        </w:tc>
      </w:tr>
      <w:tr>
        <w:tc>
          <w:tcPr>
            <w:vMerge w:val="continue"/>
          </w:tcPr>
          <w:tcPr>
            <w:tcBorders>
              <w:top w:val="basicThinLines"/>
            </w:tcBorders>
          </w:tcPr>
          <w:tcPr>
            <w:vAlign w:val="center"/>
          </w:tcPr>
          <w:p>
            <w:pPr>
              <w:jc w:val="center"/>
            </w:pPr>
            <w:r/>
            <w:r>
              <w:rPr xsi:nil="true">
                <w:b w:val="true"/>
              </w:rPr>
              <w:t>Calcium</w:t>
            </w:r>
          </w:p>
        </w:tc>
        <w:tc>
          <w:tcPr>
            <w:tcBorders>
              <w:top w:val="basicThinLines"/>
            </w:tcBorders>
          </w:tcPr>
          <w:tcPr>
            <w:vAlign w:val="center"/>
          </w:tcPr>
          <w:p>
            <w:pPr>
              <w:jc w:val="center"/>
            </w:pPr>
            <w:r/>
            <w:r>
              <w:rPr xsi:nil="true">
                <w:b w:val="true"/>
              </w:rPr>
              <w:t>Oxalate</w:t>
            </w:r>
          </w:p>
        </w:tc>
        <w:tc>
          <w:tcPr>
            <w:tcBorders>
              <w:top w:val="basicThinLines"/>
            </w:tcBorders>
          </w:tcPr>
          <w:tcPr>
            <w:vAlign w:val="center"/>
          </w:tcPr>
          <w:p>
            <w:pPr>
              <w:jc w:val="center"/>
            </w:pPr>
            <w:r/>
            <w:r>
              <w:rPr xsi:nil="true">
                <w:b w:val="true"/>
              </w:rPr>
              <w:t>Phosphorous</w:t>
            </w:r>
          </w:p>
        </w:tc>
        <w:tc>
          <w:tcPr>
            <w:tcBorders>
              <w:top w:val="basicThinLines"/>
            </w:tcBorders>
          </w:tcPr>
          <w:tcPr>
            <w:vAlign w:val="center"/>
          </w:tcPr>
          <w:p>
            <w:pPr>
              <w:jc w:val="center"/>
            </w:pPr>
            <w:r/>
            <w:r>
              <w:rPr xsi:nil="true">
                <w:b w:val="true"/>
              </w:rPr>
              <w:t>Uric acid</w:t>
            </w:r>
          </w:p>
        </w:tc>
        <w:tc>
          <w:tcPr>
            <w:vMerge w:val="continue"/>
          </w:tcPr>
          <w:tcPr>
            <w:tcBorders>
              <w:top w:val="basicThinLines"/>
            </w:tcBorders>
          </w:tcPr>
          <w:tcPr>
            <w:vAlign w:val="center"/>
          </w:tcPr>
          <w:p>
            <w:pPr>
              <w:jc w:val="center"/>
            </w:pPr>
            <w:r/>
            <w:r>
              <w:rPr xsi:nil="true">
                <w:b w:val="true"/>
              </w:rPr>
              <w:t>Creatinine</w:t>
            </w:r>
          </w:p>
        </w:tc>
        <w:tc>
          <w:p/>
        </w:tc>
        <w:tc>
          <w:p/>
        </w:tc>
        <w:tc>
          <w:tcPr>
            <w:vMerge w:val="continue"/>
          </w:tcPr>
          <w:p/>
        </w:tc>
      </w:tr>
      <w:tr>
        <w:tc>
          <w:tcPr>
            <w:tcBorders>
              <w:top w:val="basicThinLines"/>
            </w:tcBorders>
          </w:tcPr>
          <w:tcPr>
            <w:vAlign w:val="center"/>
          </w:tcPr>
          <w:p>
            <w:pPr>
              <w:jc w:val="left"/>
            </w:pPr>
            <w:r/>
            <w:r>
              <w:rPr xsi:nil="true">
                <w:b w:val="true"/>
              </w:rPr>
              <w:t>Negative control</w:t>
            </w:r>
          </w:p>
        </w:tc>
        <w:tc>
          <w:tcPr>
            <w:tcBorders>
              <w:top w:val="basicThinLines"/>
            </w:tcBorders>
          </w:tcPr>
          <w:tcPr>
            <w:vAlign w:val="center"/>
          </w:tcPr>
          <w:p>
            <w:pPr>
              <w:jc w:val="center"/>
            </w:pPr>
            <w:r/>
            <w:r>
              <w:rPr xsi:nil="true"/>
              <w:t>0.60 ± 0.02</w:t>
            </w:r>
          </w:p>
        </w:tc>
        <w:tc>
          <w:tcPr>
            <w:tcBorders>
              <w:top w:val="basicThinLines"/>
            </w:tcBorders>
          </w:tcPr>
          <w:tcPr>
            <w:vAlign w:val="center"/>
          </w:tcPr>
          <w:p>
            <w:pPr>
              <w:jc w:val="center"/>
            </w:pPr>
            <w:r/>
            <w:r>
              <w:rPr xsi:nil="true"/>
              <w:t>1.42 ± 0.02</w:t>
            </w:r>
          </w:p>
        </w:tc>
        <w:tc>
          <w:tcPr>
            <w:tcBorders>
              <w:top w:val="basicThinLines"/>
            </w:tcBorders>
          </w:tcPr>
          <w:tcPr>
            <w:vAlign w:val="center"/>
          </w:tcPr>
          <w:p>
            <w:pPr>
              <w:jc w:val="center"/>
            </w:pPr>
            <w:r/>
            <w:r>
              <w:rPr xsi:nil="true"/>
              <w:t>3.60 ± 0.02</w:t>
            </w:r>
          </w:p>
        </w:tc>
        <w:tc>
          <w:tcPr>
            <w:tcBorders>
              <w:top w:val="basicThinLines"/>
            </w:tcBorders>
          </w:tcPr>
          <w:tcPr>
            <w:vAlign w:val="center"/>
          </w:tcPr>
          <w:p>
            <w:pPr>
              <w:jc w:val="center"/>
            </w:pPr>
            <w:r/>
          </w:p>
        </w:tc>
        <w:tc>
          <w:tcPr>
            <w:tcBorders>
              <w:top w:val="basicThinLines"/>
            </w:tcBorders>
          </w:tcPr>
          <w:tcPr>
            <w:vAlign w:val="center"/>
          </w:tcPr>
          <w:p>
            <w:pPr>
              <w:jc w:val="center"/>
            </w:pPr>
            <w:r/>
            <w:r>
              <w:rPr xsi:nil="true"/>
              <w:t>1.12 ± 0.05</w:t>
            </w:r>
          </w:p>
        </w:tc>
        <w:tc>
          <w:tcPr>
            <w:tcBorders>
              <w:top w:val="basicThinLines"/>
            </w:tcBorders>
          </w:tcPr>
          <w:tcPr>
            <w:vAlign w:val="center"/>
          </w:tcPr>
          <w:p>
            <w:pPr>
              <w:jc w:val="center"/>
            </w:pPr>
            <w:r/>
            <w:r>
              <w:rPr xsi:nil="true"/>
              <w:t>0.08 ± 0.20</w:t>
            </w:r>
          </w:p>
        </w:tc>
        <w:tc>
          <w:tcPr>
            <w:tcBorders>
              <w:top w:val="basicThinLines"/>
            </w:tcBorders>
          </w:tcPr>
          <w:tcPr>
            <w:vAlign w:val="center"/>
          </w:tcPr>
          <w:p>
            <w:pPr>
              <w:jc w:val="center"/>
            </w:pPr>
            <w:r/>
            <w:r>
              <w:rPr xsi:nil="true">
                <w:vertAlign w:val="superscript"/>
              </w:rPr>
              <w:t>****</w:t>
            </w:r>
            <w:r>
              <w:rPr xsi:nil="true"/>
              <w:t xml:space="preserve"> </w:t>
            </w:r>
            <w:r>
              <w:rPr xsi:nil="true">
                <w:i w:val="true"/>
              </w:rPr>
              <w:t>P</w:t>
            </w:r>
            <w:r>
              <w:rPr xsi:nil="true"/>
              <w:t xml:space="preserve"> </w:t>
            </w:r>
            <w:r>
              <w:rPr xsi:nil="true"/>
              <w:t>&lt;</w:t>
            </w:r>
            <w:r>
              <w:rPr xsi:nil="true"/>
              <w:t xml:space="preserve"> 0.0001</w:t>
            </w:r>
          </w:p>
        </w:tc>
      </w:tr>
      <w:tr>
        <w:tc>
          <w:tcPr>
            <w:tcBorders/>
          </w:tcPr>
          <w:tcPr>
            <w:vAlign w:val="center"/>
          </w:tcPr>
          <w:p>
            <w:pPr>
              <w:jc w:val="left"/>
            </w:pPr>
            <w:r/>
            <w:r>
              <w:rPr xsi:nil="true">
                <w:b w:val="true"/>
              </w:rPr>
              <w:t>Positive control</w:t>
            </w:r>
          </w:p>
        </w:tc>
        <w:tc>
          <w:tcPr>
            <w:tcBorders/>
          </w:tcPr>
          <w:tcPr>
            <w:vAlign w:val="center"/>
          </w:tcPr>
          <w:p>
            <w:pPr>
              <w:jc w:val="center"/>
            </w:pPr>
            <w:r/>
            <w:r>
              <w:rPr xsi:nil="true"/>
              <w:t>6.30 ± 0.02</w:t>
            </w:r>
          </w:p>
        </w:tc>
        <w:tc>
          <w:tcPr>
            <w:tcBorders/>
          </w:tcPr>
          <w:tcPr>
            <w:vAlign w:val="center"/>
          </w:tcPr>
          <w:p>
            <w:pPr>
              <w:jc w:val="center"/>
            </w:pPr>
            <w:r/>
            <w:r>
              <w:rPr xsi:nil="true"/>
              <w:t>1.93 ± 0.04</w:t>
            </w:r>
          </w:p>
        </w:tc>
        <w:tc>
          <w:tcPr>
            <w:tcBorders/>
          </w:tcPr>
          <w:tcPr>
            <w:vAlign w:val="center"/>
          </w:tcPr>
          <w:p>
            <w:pPr>
              <w:jc w:val="center"/>
            </w:pPr>
            <w:r/>
            <w:r>
              <w:rPr xsi:nil="true"/>
              <w:t>7.75 ± 0.01</w:t>
            </w:r>
          </w:p>
        </w:tc>
        <w:tc>
          <w:tcPr>
            <w:tcBorders/>
          </w:tcPr>
          <w:tcPr>
            <w:vAlign w:val="center"/>
          </w:tcPr>
          <w:p>
            <w:pPr>
              <w:jc w:val="center"/>
            </w:pPr>
            <w:r/>
          </w:p>
        </w:tc>
        <w:tc>
          <w:tcPr>
            <w:tcBorders/>
          </w:tcPr>
          <w:tcPr>
            <w:vAlign w:val="center"/>
          </w:tcPr>
          <w:p>
            <w:pPr>
              <w:jc w:val="center"/>
            </w:pPr>
            <w:r/>
            <w:r>
              <w:rPr xsi:nil="true"/>
              <w:t>1.35 ± 0.12</w:t>
            </w:r>
          </w:p>
        </w:tc>
        <w:tc>
          <w:tcPr>
            <w:tcBorders/>
          </w:tcPr>
          <w:tcPr>
            <w:vAlign w:val="center"/>
          </w:tcPr>
          <w:p>
            <w:pPr>
              <w:jc w:val="center"/>
            </w:pPr>
            <w:r/>
            <w:r>
              <w:rPr xsi:nil="true"/>
              <w:t>0.80 ± 0.20</w:t>
            </w:r>
          </w:p>
        </w:tc>
        <w:tc>
          <w:tcPr>
            <w:tcBorders/>
          </w:tcPr>
          <w:tcPr>
            <w:vAlign w:val="center"/>
          </w:tcPr>
          <w:p>
            <w:pPr>
              <w:jc w:val="center"/>
            </w:pPr>
            <w:r/>
            <w:r>
              <w:rPr xsi:nil="true"/>
              <w:t>None</w:t>
            </w:r>
          </w:p>
        </w:tc>
      </w:tr>
      <w:tr>
        <w:tc>
          <w:tcPr>
            <w:tcBorders/>
          </w:tcPr>
          <w:tcPr>
            <w:vAlign w:val="center"/>
          </w:tcPr>
          <w:p>
            <w:pPr>
              <w:jc w:val="left"/>
            </w:pPr>
            <w:r/>
            <w:r>
              <w:rPr xsi:nil="true">
                <w:b w:val="true"/>
              </w:rPr>
              <w:t>Standard (Cystone 750 mg/kg)</w:t>
            </w:r>
          </w:p>
        </w:tc>
        <w:tc>
          <w:tcPr>
            <w:tcBorders/>
          </w:tcPr>
          <w:tcPr>
            <w:vAlign w:val="center"/>
          </w:tcPr>
          <w:p>
            <w:pPr>
              <w:jc w:val="center"/>
            </w:pPr>
            <w:r/>
            <w:r>
              <w:rPr xsi:nil="true"/>
              <w:t>1.15 ± 0.01</w:t>
            </w:r>
          </w:p>
        </w:tc>
        <w:tc>
          <w:tcPr>
            <w:tcBorders/>
          </w:tcPr>
          <w:tcPr>
            <w:vAlign w:val="center"/>
          </w:tcPr>
          <w:p>
            <w:pPr>
              <w:jc w:val="center"/>
            </w:pPr>
            <w:r/>
            <w:r>
              <w:rPr xsi:nil="true"/>
              <w:t>1.62 ± 0.02</w:t>
            </w:r>
          </w:p>
        </w:tc>
        <w:tc>
          <w:tcPr>
            <w:tcBorders/>
          </w:tcPr>
          <w:tcPr>
            <w:vAlign w:val="center"/>
          </w:tcPr>
          <w:p>
            <w:pPr>
              <w:jc w:val="center"/>
            </w:pPr>
            <w:r/>
            <w:r>
              <w:rPr xsi:nil="true"/>
              <w:t>3.40 ± 0.02</w:t>
            </w:r>
          </w:p>
        </w:tc>
        <w:tc>
          <w:tcPr>
            <w:tcBorders/>
          </w:tcPr>
          <w:tcPr>
            <w:vAlign w:val="center"/>
          </w:tcPr>
          <w:p>
            <w:pPr>
              <w:jc w:val="center"/>
            </w:pPr>
            <w:r/>
          </w:p>
        </w:tc>
        <w:tc>
          <w:tcPr>
            <w:tcBorders/>
          </w:tcPr>
          <w:tcPr>
            <w:vAlign w:val="center"/>
          </w:tcPr>
          <w:p>
            <w:pPr>
              <w:jc w:val="center"/>
            </w:pPr>
            <w:r/>
            <w:r>
              <w:rPr xsi:nil="true"/>
              <w:t>1.15 ± 0.02</w:t>
            </w:r>
          </w:p>
        </w:tc>
        <w:tc>
          <w:tcPr>
            <w:tcBorders/>
          </w:tcPr>
          <w:tcPr>
            <w:vAlign w:val="center"/>
          </w:tcPr>
          <w:p>
            <w:pPr>
              <w:jc w:val="center"/>
            </w:pPr>
            <w:r/>
            <w:r>
              <w:rPr xsi:nil="true"/>
              <w:t>0.14 ± 0.00</w:t>
            </w:r>
          </w:p>
        </w:tc>
        <w:tc>
          <w:tcPr>
            <w:tcBorders/>
          </w:tcPr>
          <w:tcPr>
            <w:vAlign w:val="center"/>
          </w:tcPr>
          <w:p>
            <w:pPr>
              <w:jc w:val="center"/>
            </w:pPr>
            <w:r/>
            <w:r>
              <w:rPr xsi:nil="true">
                <w:vertAlign w:val="superscript"/>
              </w:rPr>
              <w:t>****</w:t>
            </w:r>
            <w:r>
              <w:rPr xsi:nil="true">
                <w:i w:val="true"/>
              </w:rPr>
              <w:t>P</w:t>
            </w:r>
            <w:r>
              <w:rPr xsi:nil="true"/>
              <w:t xml:space="preserve"> </w:t>
            </w:r>
            <w:r>
              <w:rPr xsi:nil="true"/>
              <w:t>&lt;</w:t>
            </w:r>
            <w:r>
              <w:rPr xsi:nil="true"/>
              <w:t xml:space="preserve"> 0.0001</w:t>
            </w:r>
          </w:p>
        </w:tc>
      </w:tr>
      <w:tr>
        <w:tc>
          <w:tcPr>
            <w:tcBorders/>
          </w:tcPr>
          <w:tcPr>
            <w:vAlign w:val="center"/>
          </w:tcPr>
          <w:p>
            <w:pPr>
              <w:jc w:val="left"/>
            </w:pPr>
            <w:r/>
            <w:r>
              <w:rPr xsi:nil="true">
                <w:b w:val="true"/>
              </w:rPr>
              <w:t>Low dose HAEAL (400 mg/kg)</w:t>
            </w:r>
          </w:p>
        </w:tc>
        <w:tc>
          <w:tcPr>
            <w:tcBorders/>
          </w:tcPr>
          <w:tcPr>
            <w:vAlign w:val="center"/>
          </w:tcPr>
          <w:p>
            <w:pPr>
              <w:jc w:val="center"/>
            </w:pPr>
            <w:r/>
            <w:r>
              <w:rPr xsi:nil="true"/>
              <w:t>2.75 ± 0.03</w:t>
            </w:r>
          </w:p>
        </w:tc>
        <w:tc>
          <w:tcPr>
            <w:tcBorders/>
          </w:tcPr>
          <w:tcPr>
            <w:vAlign w:val="center"/>
          </w:tcPr>
          <w:p>
            <w:pPr>
              <w:jc w:val="center"/>
            </w:pPr>
            <w:r/>
            <w:r>
              <w:rPr xsi:nil="true"/>
              <w:t>1.75 ± 0.04</w:t>
            </w:r>
          </w:p>
        </w:tc>
        <w:tc>
          <w:tcPr>
            <w:tcBorders/>
          </w:tcPr>
          <w:tcPr>
            <w:vAlign w:val="center"/>
          </w:tcPr>
          <w:p>
            <w:pPr>
              <w:jc w:val="center"/>
            </w:pPr>
            <w:r/>
            <w:r>
              <w:rPr xsi:nil="true"/>
              <w:t>3.55 ± 0.01</w:t>
            </w:r>
          </w:p>
        </w:tc>
        <w:tc>
          <w:tcPr>
            <w:tcBorders/>
          </w:tcPr>
          <w:tcPr>
            <w:vAlign w:val="center"/>
          </w:tcPr>
          <w:p>
            <w:pPr>
              <w:jc w:val="center"/>
            </w:pPr>
            <w:r/>
          </w:p>
        </w:tc>
        <w:tc>
          <w:tcPr>
            <w:tcBorders/>
          </w:tcPr>
          <w:tcPr>
            <w:vAlign w:val="center"/>
          </w:tcPr>
          <w:p>
            <w:pPr>
              <w:jc w:val="center"/>
            </w:pPr>
            <w:r/>
            <w:r>
              <w:rPr xsi:nil="true"/>
              <w:t>1.20 ± 0.02</w:t>
            </w:r>
          </w:p>
        </w:tc>
        <w:tc>
          <w:tcPr>
            <w:tcBorders/>
          </w:tcPr>
          <w:tcPr>
            <w:vAlign w:val="center"/>
          </w:tcPr>
          <w:p>
            <w:pPr>
              <w:jc w:val="center"/>
            </w:pPr>
            <w:r/>
            <w:r>
              <w:rPr xsi:nil="true"/>
              <w:t>0.32 ± 0.20</w:t>
            </w:r>
          </w:p>
        </w:tc>
        <w:tc>
          <w:tcPr>
            <w:tcBorders/>
          </w:tcPr>
          <w:tcPr>
            <w:vAlign w:val="center"/>
          </w:tcPr>
          <w:p>
            <w:pPr>
              <w:jc w:val="center"/>
            </w:pPr>
            <w:r/>
            <w:r>
              <w:rPr xsi:nil="true">
                <w:vertAlign w:val="superscript"/>
              </w:rPr>
              <w:t>****</w:t>
            </w:r>
            <w:r>
              <w:rPr xsi:nil="true">
                <w:i w:val="true"/>
              </w:rPr>
              <w:t>P</w:t>
            </w:r>
            <w:r>
              <w:rPr xsi:nil="true"/>
              <w:t xml:space="preserve"> </w:t>
            </w:r>
            <w:r>
              <w:rPr xsi:nil="true"/>
              <w:t>&lt;</w:t>
            </w:r>
            <w:r>
              <w:rPr xsi:nil="true"/>
              <w:t xml:space="preserve"> 0.0001</w:t>
            </w:r>
          </w:p>
        </w:tc>
      </w:tr>
      <w:tr>
        <w:tc>
          <w:tcPr>
            <w:tcBorders/>
          </w:tcPr>
          <w:tcPr>
            <w:vAlign w:val="center"/>
          </w:tcPr>
          <w:p>
            <w:pPr>
              <w:jc w:val="left"/>
            </w:pPr>
            <w:r/>
            <w:r>
              <w:rPr xsi:nil="true">
                <w:b w:val="true"/>
              </w:rPr>
              <w:t>High dose HAEAL (800 mg/kg)</w:t>
            </w:r>
          </w:p>
        </w:tc>
        <w:tc>
          <w:tcPr>
            <w:tcBorders/>
          </w:tcPr>
          <w:tcPr>
            <w:vAlign w:val="center"/>
          </w:tcPr>
          <w:p>
            <w:pPr>
              <w:jc w:val="center"/>
            </w:pPr>
            <w:r/>
            <w:r>
              <w:rPr xsi:nil="true"/>
              <w:t>1.19 ± 0.02</w:t>
            </w:r>
          </w:p>
        </w:tc>
        <w:tc>
          <w:tcPr>
            <w:tcBorders/>
          </w:tcPr>
          <w:tcPr>
            <w:vAlign w:val="center"/>
          </w:tcPr>
          <w:p>
            <w:pPr>
              <w:jc w:val="center"/>
            </w:pPr>
            <w:r/>
            <w:r>
              <w:rPr xsi:nil="true"/>
              <w:t>1.67 ± 0.02</w:t>
            </w:r>
          </w:p>
        </w:tc>
        <w:tc>
          <w:tcPr>
            <w:tcBorders/>
          </w:tcPr>
          <w:tcPr>
            <w:vAlign w:val="center"/>
          </w:tcPr>
          <w:p>
            <w:pPr>
              <w:jc w:val="center"/>
            </w:pPr>
            <w:r/>
            <w:r>
              <w:rPr xsi:nil="true"/>
              <w:t>3.50 ± 0.02</w:t>
            </w:r>
          </w:p>
        </w:tc>
        <w:tc>
          <w:tcPr>
            <w:tcBorders/>
          </w:tcPr>
          <w:tcPr>
            <w:vAlign w:val="center"/>
          </w:tcPr>
          <w:p>
            <w:pPr>
              <w:jc w:val="center"/>
            </w:pPr>
            <w:r/>
          </w:p>
        </w:tc>
        <w:tc>
          <w:tcPr>
            <w:tcBorders/>
          </w:tcPr>
          <w:tcPr>
            <w:vAlign w:val="center"/>
          </w:tcPr>
          <w:p>
            <w:pPr>
              <w:jc w:val="center"/>
            </w:pPr>
            <w:r/>
            <w:r>
              <w:rPr xsi:nil="true"/>
              <w:t>1.18 ± 0.04</w:t>
            </w:r>
          </w:p>
        </w:tc>
        <w:tc>
          <w:tcPr>
            <w:tcBorders/>
          </w:tcPr>
          <w:tcPr>
            <w:vAlign w:val="center"/>
          </w:tcPr>
          <w:p>
            <w:pPr>
              <w:jc w:val="center"/>
            </w:pPr>
            <w:r/>
            <w:r>
              <w:rPr xsi:nil="true"/>
              <w:t>0.25 ± 0.10</w:t>
            </w:r>
          </w:p>
        </w:tc>
        <w:tc>
          <w:tcPr>
            <w:tcBorders/>
          </w:tcPr>
          <w:tcPr>
            <w:vAlign w:val="center"/>
          </w:tcPr>
          <w:p>
            <w:pPr>
              <w:jc w:val="center"/>
            </w:pPr>
            <w:r/>
            <w:r>
              <w:rPr xsi:nil="true">
                <w:vertAlign w:val="superscript"/>
              </w:rPr>
              <w:t>****</w:t>
            </w:r>
            <w:r>
              <w:rPr xsi:nil="true">
                <w:i w:val="true"/>
              </w:rPr>
              <w:t>P</w:t>
            </w:r>
            <w:r>
              <w:rPr xsi:nil="true"/>
              <w:t xml:space="preserve"> </w:t>
            </w:r>
            <w:r>
              <w:rPr xsi:nil="true"/>
              <w:t>&lt;</w:t>
            </w:r>
            <w:r>
              <w:rPr xsi:nil="true"/>
              <w:t xml:space="preserve"> 0.0001</w:t>
            </w:r>
          </w:p>
        </w:tc>
      </w:tr>
      <w:tr>
        <w:tc>
          <w:tcPr>
            <w:tcBorders>
              <w:bottom w:val="basicThinLines"/>
            </w:tcBorders>
          </w:tcPr>
          <w:tcPr>
            <w:vAlign w:val="center"/>
          </w:tcPr>
          <w:p>
            <w:pPr>
              <w:jc w:val="left"/>
            </w:pPr>
            <w:r/>
            <w:r>
              <w:rPr xsi:nil="true">
                <w:b w:val="true"/>
              </w:rPr>
              <w:t>R</w:t>
            </w:r>
            <w:r>
              <w:rPr xsi:nil="true">
                <w:b w:val="true"/>
                <w:vertAlign w:val="superscript"/>
              </w:rPr>
              <w:t>2</w:t>
            </w:r>
          </w:p>
        </w:tc>
        <w:tc>
          <w:tcPr>
            <w:tcBorders>
              <w:bottom w:val="basicThinLines"/>
            </w:tcBorders>
          </w:tcPr>
          <w:tcPr>
            <w:vAlign w:val="center"/>
          </w:tcPr>
          <w:p>
            <w:pPr>
              <w:jc w:val="center"/>
            </w:pPr>
            <w:r/>
            <w:r>
              <w:rPr xsi:nil="true"/>
              <w:t>0.999 9</w:t>
            </w:r>
          </w:p>
        </w:tc>
        <w:tc>
          <w:tcPr>
            <w:tcBorders>
              <w:bottom w:val="basicThinLines"/>
            </w:tcBorders>
          </w:tcPr>
          <w:tcPr>
            <w:vAlign w:val="center"/>
          </w:tcPr>
          <w:p>
            <w:pPr>
              <w:jc w:val="center"/>
            </w:pPr>
            <w:r/>
            <w:r>
              <w:rPr xsi:nil="true"/>
              <w:t>0.974 2</w:t>
            </w:r>
          </w:p>
        </w:tc>
        <w:tc>
          <w:tcPr>
            <w:tcBorders>
              <w:bottom w:val="basicThinLines"/>
            </w:tcBorders>
          </w:tcPr>
          <w:tcPr>
            <w:vAlign w:val="center"/>
          </w:tcPr>
          <w:p>
            <w:pPr>
              <w:jc w:val="center"/>
            </w:pPr>
            <w:r/>
            <w:r>
              <w:rPr xsi:nil="true"/>
              <w:t>0.999 9</w:t>
            </w:r>
          </w:p>
        </w:tc>
        <w:tc>
          <w:tcPr>
            <w:tcBorders>
              <w:bottom w:val="basicThinLines"/>
            </w:tcBorders>
          </w:tcPr>
          <w:tcPr>
            <w:vAlign w:val="center"/>
          </w:tcPr>
          <w:p>
            <w:pPr>
              <w:jc w:val="center"/>
            </w:pPr>
            <w:r/>
          </w:p>
        </w:tc>
        <w:tc>
          <w:tcPr>
            <w:tcBorders>
              <w:bottom w:val="basicThinLines"/>
            </w:tcBorders>
          </w:tcPr>
          <w:tcPr>
            <w:vAlign w:val="center"/>
          </w:tcPr>
          <w:p>
            <w:pPr>
              <w:jc w:val="center"/>
            </w:pPr>
            <w:r/>
            <w:r>
              <w:rPr xsi:nil="true"/>
              <w:t>0.664 1</w:t>
            </w:r>
          </w:p>
        </w:tc>
        <w:tc>
          <w:tcPr>
            <w:tcBorders>
              <w:bottom w:val="basicThinLines"/>
            </w:tcBorders>
          </w:tcPr>
          <w:tcPr>
            <w:vAlign w:val="center"/>
          </w:tcPr>
          <w:p>
            <w:pPr>
              <w:jc w:val="center"/>
            </w:pPr>
            <w:r/>
            <w:r>
              <w:rPr xsi:nil="true"/>
              <w:t>0.750 2</w:t>
            </w:r>
          </w:p>
        </w:tc>
        <w:tc>
          <w:tcPr>
            <w:tcBorders>
              <w:bottom w:val="basicThinLines"/>
            </w:tcBorders>
          </w:tcPr>
          <w:tcPr>
            <w:vAlign w:val="center"/>
          </w:tcPr>
          <w:p>
            <w:pPr>
              <w:jc w:val="center"/>
            </w:pPr>
            <w:r/>
            <w:r>
              <w:rPr xsi:nil="true"/>
              <w:t>None</w:t>
            </w:r>
          </w:p>
        </w:tc>
      </w:tr>
      <w:tr>
        <w:tc>
          <w:tcPr>
            <w:hMerge w:val="restart"/>
          </w:tcPr>
          <w:tcPr>
            <w:tcBorders/>
          </w:tcPr>
          <w:tcPr>
            <w:vAlign w:val="center"/>
          </w:tcPr>
          <w:p>
            <w:pPr>
              <w:jc w:val="left"/>
            </w:pPr>
            <w:r/>
            <w:r>
              <w:rPr xsi:nil="true"/>
              <w:t xml:space="preserve">The parameters are expressed as mg/dL in 24 h samples. The values are expressed as mean ± SD. The results were statistically analyzed by one-way ANOVA, followed by Turkey’s post hoc test. </w:t>
            </w:r>
            <w:r>
              <w:rPr xsi:nil="true">
                <w:vertAlign w:val="superscript"/>
              </w:rPr>
              <w:t>****</w:t>
            </w:r>
            <w:r>
              <w:rPr xsi:nil="true">
                <w:i w:val="true"/>
              </w:rPr>
              <w:t>P</w:t>
            </w:r>
            <w:r>
              <w:rPr xsi:nil="true"/>
              <w:t xml:space="preserve"> </w:t>
            </w:r>
            <w:r>
              <w:rPr xsi:nil="true"/>
              <w:t>&lt;</w:t>
            </w:r>
            <w:r>
              <w:rPr xsi:nil="true"/>
              <w:t xml:space="preserve">  0.0001, compared with the positive control group.</w:t>
            </w:r>
          </w:p>
        </w:tc>
        <w:tc>
          <w:tcPr>
            <w:hMerge w:val="continue"/>
          </w:tcPr>
          <w:p/>
        </w:tc>
        <w:tc>
          <w:tcPr>
            <w:hMerge w:val="continue"/>
          </w:tcPr>
          <w:p/>
        </w:tc>
        <w:tc>
          <w:tcPr>
            <w:hMerge w:val="continue"/>
          </w:tcPr>
          <w:p/>
        </w:tc>
        <w:tc>
          <w:tcPr>
            <w:hMerge w:val="continue"/>
          </w:tcPr>
          <w:p/>
        </w:tc>
        <w:tc>
          <w:tcPr>
            <w:hMerge w:val="continue"/>
          </w:tcPr>
          <w:p/>
        </w:tc>
        <w:tc>
          <w:tcPr>
            <w:hMerge w:val="continue"/>
          </w:tcPr>
          <w:p/>
        </w:tc>
        <w:tc>
          <w:tcPr>
            <w:hMerge w:val="continue"/>
          </w:tcPr>
          <w:p/>
        </w:tc>
      </w:tr>
      <w:tr>
        <w:tc>
          <w:p/>
        </w:tc>
        <w:tc>
          <w:p/>
        </w:tc>
        <w:tc>
          <w:p/>
        </w:tc>
        <w:tc>
          <w:p/>
        </w:tc>
        <w:tc>
          <w:p/>
        </w:tc>
        <w:tc>
          <w:p/>
        </w:tc>
        <w:tc>
          <w:p/>
        </w:tc>
        <w:tc>
          <w:p/>
        </w:tc>
      </w:tr>
    </w:tbl>
    <w:p>
      <w:pPr>
        <w:ind w:firstLine="420"/>
        <w:rPr>
          <w:rFonts w:ascii="Times New Roman" w:hAnsi="宋体"/>
          <w:sz w:val="24"/>
          <w:szCs w:val="24"/>
        </w:rPr>
      </w:pP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Serum analysis revealed higher creatinine levels in the positive control group than tlat in the negative control group, indicating that ethylene glycol induced kidney obstruction. Treatment with HAEAL at low and high doses inhibited crystal deposition and was found to be statistically significant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0.0001). Uric acid levels were increased in the positive control group, causing crystal sedimentation, but were decreased by Cystone or HAEAL treatment. Thus, the plant extract significantly inhibited the increase in uric acid levels induced by ethylene glycol. An image of the calcium oxalate crystals is shown in </w:t>
      </w:r>
      <w:r>
        <w:rPr>
          <w:rFonts w:ascii="Times New Roman" w:hAnsi="宋体" w:hint="eastAsia"/>
          <w:sz w:val="24"/>
          <w:szCs w:val="24"/>
        </w:rPr>
        <w:t>Figure 3</w:t>
      </w:r>
      <w:r>
        <w:rPr>
          <w:rFonts w:ascii="Times New Roman" w:hAnsi="宋体" w:hint="eastAsia"/>
          <w:sz w:val="24"/>
          <w:szCs w:val="24"/>
        </w:rPr>
        <w:t>.</w:t>
      </w:r>
    </w:p>
    <w:p>
      <w:pPr>
        <w:spacing w:before="200" w:after="100"/>
        <w:jc w:val="center"/>
      </w:pPr>
      <w:r>
        <w:drawing>
          <wp:inline distT="0" distR="0" distB="0" distL="0">
            <wp:extent cx="2736342" cy="1498473"/>
            <wp:docPr id="2" name="Drawing 2" descr="Gowri-3.jpg"/>
            <a:graphic xmlns:a="http://schemas.openxmlformats.org/drawingml/2006/main">
              <a:graphicData uri="http://schemas.openxmlformats.org/drawingml/2006/picture">
                <pic:pic xmlns:pic="http://schemas.openxmlformats.org/drawingml/2006/picture">
                  <pic:nvPicPr>
                    <pic:cNvPr id="0" name="Picture 2" descr="Gowri-3.jpg"/>
                    <pic:cNvPicPr>
                      <a:picLocks noChangeAspect="true"/>
                    </pic:cNvPicPr>
                  </pic:nvPicPr>
                  <pic:blipFill>
                    <a:blip r:embed="rId11"/>
                    <a:stretch>
                      <a:fillRect/>
                    </a:stretch>
                  </pic:blipFill>
                  <pic:spPr>
                    <a:xfrm>
                      <a:off x="0" y="0"/>
                      <a:ext cx="2736342" cy="1498473"/>
                    </a:xfrm>
                    <a:prstGeom prst="rect">
                      <a:avLst/>
                    </a:prstGeom>
                  </pic:spPr>
                </pic:pic>
              </a:graphicData>
            </a:graphic>
          </wp:inline>
        </w:drawing>
      </w:r>
    </w:p>
    <w:p>
      <w:pPr>
        <w:spacing w:after="200"/>
        <w:jc w:val="center"/>
      </w:pPr>
      <w:r>
        <w:rPr>
          <w:b w:val="true"/>
        </w:rPr>
        <w:t xml:space="preserve">Fig. 3  </w:t>
      </w:r>
      <w:r>
        <w:rPr>
          <w:b w:val="true"/>
        </w:rPr>
        <w:t>Microscopic analysis of calcium oxalate crystals</w:t>
      </w:r>
    </w:p>
    <w:p>
      <w:pPr>
        <w:spacing w:before="156" w:beforeLines="50" w:line="360" w:lineRule="auto"/>
        <w:jc w:val="left"/>
        <w:rPr>
          <w:rFonts w:ascii="Times New Roman" w:hAnsi="宋体"/>
          <w:sz w:val="24"/>
          <w:szCs w:val="24"/>
        </w:rPr>
      </w:pPr>
      <w:r>
        <w:rPr>
          <w:rFonts w:ascii="Times New Roman" w:hAnsi="宋体" w:hint="eastAsia"/>
          <w:b/>
          <w:sz w:val="24"/>
          <w:szCs w:val="32"/>
        </w:rPr>
        <w:t>3.3.2  Analysis of urine samples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Urine samples were collected in a centrifuge tube and centrifuged at 2 000 rpm for 10 min. The supernatant was discarded after centrifugation and the sediment was examined under the microscope. The negative control group did not show evidence of crystal formation. In contrast, the urine from the positive control group had abundant and large calcium oxalate crystals. HAEAL treatment decreased crystal formation and the size of the crystals formed. The samples from the standard treatment group showed less turbidity and were less malodorous than those of the positive control group, which had very bad odor due to bacterial infection. The differences between the HAEAL treatment groups and the positive control group were significant, indicating that HAEAL reduced crystal formation and improved urine odor. Effects of HAEAL on urine volume and pH value are mentioned in </w:t>
      </w:r>
      <w:r>
        <w:rPr>
          <w:rFonts w:ascii="Times New Roman" w:hAnsi="宋体" w:hint="eastAsia"/>
          <w:sz w:val="24"/>
          <w:szCs w:val="24"/>
        </w:rPr>
        <w:t>Table 6</w:t>
      </w:r>
      <w:r>
        <w:rPr>
          <w:rFonts w:ascii="Times New Roman" w:hAnsi="宋体" w:hint="eastAsia"/>
          <w:sz w:val="24"/>
          <w:szCs w:val="24"/>
        </w:rPr>
        <w: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6 </w:t>
      </w:r>
      <w:r>
        <w:rPr>
          <w:rFonts w:ascii="Times New Roman" w:hAnsi="宋体" w:hint="eastAsia"/>
          <w:sz w:val="24"/>
          <w:szCs w:val="24"/>
        </w:rPr>
        <w:t xml:space="preserve"> Effects of HAEAL on urine volume and pH value</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vMerge w:val="restart"/>
          </w:tcPr>
          <w:tcPr>
            <w:tcBorders>
              <w:top w:val="basicThinLines"/>
            </w:tcBorders>
          </w:tcPr>
          <w:tcPr>
            <w:vAlign w:val="center"/>
          </w:tcPr>
          <w:p>
            <w:pPr>
              <w:jc w:val="center"/>
            </w:pPr>
            <w:r/>
            <w:r>
              <w:rPr xsi:nil="true">
                <w:b w:val="true"/>
              </w:rPr>
              <w:t>Day</w:t>
            </w:r>
          </w:p>
        </w:tc>
        <w:tc>
          <w:tcPr>
            <w:hMerge w:val="restart"/>
          </w:tcPr>
          <w:tcPr>
            <w:tcBorders>
              <w:top w:val="basicThinLines"/>
            </w:tcBorders>
          </w:tcPr>
          <w:tcPr>
            <w:vAlign w:val="center"/>
          </w:tcPr>
          <w:p>
            <w:pPr>
              <w:jc w:val="center"/>
            </w:pPr>
            <w:r/>
            <w:r>
              <w:rPr xsi:nil="true">
                <w:b w:val="true"/>
              </w:rPr>
              <w:t>Negative control</w:t>
            </w:r>
            <w:r>
              <w:rPr xsi:nil="true"/>
              <w:t xml:space="preserve"> </w:t>
            </w:r>
            <w:r>
              <w:rPr xsi:nil="true">
                <w:b w:val="true"/>
              </w:rPr>
              <w:t>group</w:t>
            </w:r>
          </w:p>
        </w:tc>
        <w:tc>
          <w:tcPr>
            <w:hMerge w:val="continue"/>
          </w:tcPr>
          <w:p/>
        </w:tc>
        <w:tc>
          <w:tcPr>
            <w:tcBorders>
              <w:top w:val="basicThinLines"/>
            </w:tcBorders>
          </w:tcPr>
          <w:tcPr>
            <w:vAlign w:val="center"/>
          </w:tcPr>
          <w:p>
            <w:pPr>
              <w:jc w:val="left"/>
            </w:pPr>
            <w:r/>
          </w:p>
        </w:tc>
        <w:tc>
          <w:tcPr>
            <w:hMerge w:val="restart"/>
          </w:tcPr>
          <w:tcPr>
            <w:tcBorders>
              <w:top w:val="basicThinLines"/>
            </w:tcBorders>
          </w:tcPr>
          <w:tcPr>
            <w:vAlign w:val="center"/>
          </w:tcPr>
          <w:p>
            <w:pPr>
              <w:jc w:val="center"/>
            </w:pPr>
            <w:r/>
            <w:r>
              <w:rPr xsi:nil="true">
                <w:b w:val="true"/>
              </w:rPr>
              <w:t>Positive control group</w:t>
            </w:r>
          </w:p>
        </w:tc>
        <w:tc>
          <w:tcPr>
            <w:hMerge w:val="continue"/>
          </w:tcPr>
          <w:p/>
        </w:tc>
        <w:tc>
          <w:tcPr>
            <w:tcBorders>
              <w:top w:val="basicThinLines"/>
            </w:tcBorders>
          </w:tcPr>
          <w:tcPr>
            <w:vAlign w:val="center"/>
          </w:tcPr>
          <w:p>
            <w:pPr>
              <w:jc w:val="left"/>
            </w:pPr>
            <w:r/>
          </w:p>
        </w:tc>
        <w:tc>
          <w:tcPr>
            <w:hMerge w:val="restart"/>
          </w:tcPr>
          <w:tcPr>
            <w:tcBorders>
              <w:top w:val="basicThinLines"/>
            </w:tcBorders>
          </w:tcPr>
          <w:tcPr>
            <w:vAlign w:val="center"/>
          </w:tcPr>
          <w:p>
            <w:pPr>
              <w:jc w:val="center"/>
            </w:pPr>
            <w:r/>
            <w:r>
              <w:rPr xsi:nil="true">
                <w:b w:val="true"/>
              </w:rPr>
              <w:t>Standard group</w:t>
            </w:r>
            <w:r>
              <w:rPr xsi:nil="true">
                <w:b w:val="true"/>
              </w:rPr>
              <w:t>(Cystone 750 mg/kg)</w:t>
            </w:r>
          </w:p>
        </w:tc>
        <w:tc>
          <w:tcPr>
            <w:hMerge w:val="continue"/>
          </w:tcPr>
          <w:p/>
        </w:tc>
        <w:tc>
          <w:tcPr>
            <w:tcBorders>
              <w:top w:val="basicThinLines"/>
            </w:tcBorders>
          </w:tcPr>
          <w:tcPr>
            <w:vAlign w:val="center"/>
          </w:tcPr>
          <w:p>
            <w:pPr>
              <w:jc w:val="left"/>
            </w:pPr>
            <w:r/>
          </w:p>
        </w:tc>
        <w:tc>
          <w:tcPr>
            <w:hMerge w:val="restart"/>
          </w:tcPr>
          <w:tcPr>
            <w:tcBorders>
              <w:top w:val="basicThinLines"/>
            </w:tcBorders>
          </w:tcPr>
          <w:tcPr>
            <w:vAlign w:val="center"/>
          </w:tcPr>
          <w:p>
            <w:pPr>
              <w:jc w:val="center"/>
            </w:pPr>
            <w:r/>
            <w:r>
              <w:rPr xsi:nil="true">
                <w:b w:val="true"/>
              </w:rPr>
              <w:t>Low dose HAEAL</w:t>
            </w:r>
            <w:r>
              <w:rPr xsi:nil="true">
                <w:b w:val="true"/>
              </w:rPr>
              <w:t>group (400 mg/kg)</w:t>
            </w:r>
          </w:p>
        </w:tc>
        <w:tc>
          <w:tcPr>
            <w:hMerge w:val="continue"/>
          </w:tcPr>
          <w:p/>
        </w:tc>
        <w:tc>
          <w:tcPr>
            <w:tcBorders>
              <w:top w:val="basicThinLines"/>
            </w:tcBorders>
          </w:tcPr>
          <w:tcPr>
            <w:vAlign w:val="center"/>
          </w:tcPr>
          <w:p>
            <w:pPr>
              <w:jc w:val="left"/>
            </w:pPr>
            <w:r/>
          </w:p>
        </w:tc>
        <w:tc>
          <w:tcPr>
            <w:hMerge w:val="restart"/>
          </w:tcPr>
          <w:tcPr>
            <w:tcBorders>
              <w:top w:val="basicThinLines"/>
            </w:tcBorders>
          </w:tcPr>
          <w:tcPr>
            <w:vAlign w:val="center"/>
          </w:tcPr>
          <w:p>
            <w:pPr>
              <w:jc w:val="center"/>
            </w:pPr>
            <w:r/>
            <w:r>
              <w:rPr xsi:nil="true">
                <w:b w:val="true"/>
              </w:rPr>
              <w:t>High dose HAEAL</w:t>
            </w:r>
            <w:r>
              <w:rPr xsi:nil="true"/>
              <w:t xml:space="preserve"> </w:t>
            </w:r>
            <w:r>
              <w:rPr xsi:nil="true">
                <w:b w:val="true"/>
              </w:rPr>
              <w:t>group (800 mg/kg)</w:t>
            </w:r>
          </w:p>
        </w:tc>
        <w:tc>
          <w:tcPr>
            <w:hMerge w:val="continue"/>
          </w:tcPr>
          <w:p/>
        </w:tc>
      </w:tr>
      <w:tr>
        <w:tc>
          <w:tcPr>
            <w:vMerge w:val="continue"/>
          </w:tcPr>
          <w:tcPr>
            <w:tcBorders>
              <w:top w:val="basicThinLines"/>
            </w:tcBorders>
          </w:tcPr>
          <w:tcPr>
            <w:vAlign w:val="center"/>
          </w:tcPr>
          <w:p>
            <w:pPr>
              <w:jc w:val="center"/>
            </w:pPr>
            <w:r/>
            <w:r>
              <w:rPr xsi:nil="true">
                <w:b w:val="true"/>
              </w:rPr>
              <w:t>Volume</w:t>
            </w:r>
            <w:r>
              <w:rPr xsi:nil="true">
                <w:b w:val="true"/>
              </w:rPr>
              <w:t>(mL/24 h)</w:t>
            </w:r>
          </w:p>
        </w:tc>
        <w:tc>
          <w:tcPr>
            <w:tcBorders>
              <w:top w:val="basicThinLines"/>
            </w:tcBorders>
          </w:tcPr>
          <w:tcPr>
            <w:vAlign w:val="center"/>
          </w:tcPr>
          <w:p>
            <w:pPr>
              <w:jc w:val="center"/>
            </w:pPr>
            <w:r/>
            <w:r>
              <w:rPr xsi:nil="true">
                <w:b w:val="true"/>
              </w:rPr>
              <w:t>pH</w:t>
            </w:r>
          </w:p>
        </w:tc>
        <w:tc>
          <w:tcPr>
            <w:tcBorders/>
          </w:tcPr>
          <w:tcPr>
            <w:vAlign w:val="center"/>
          </w:tcPr>
          <w:p>
            <w:pPr>
              <w:jc w:val="left"/>
            </w:pPr>
            <w:r/>
          </w:p>
        </w:tc>
        <w:tc>
          <w:tcPr>
            <w:tcBorders>
              <w:top w:val="basicThinLines"/>
            </w:tcBorders>
          </w:tcPr>
          <w:tcPr>
            <w:vAlign w:val="center"/>
          </w:tcPr>
          <w:p>
            <w:pPr>
              <w:jc w:val="center"/>
            </w:pPr>
            <w:r/>
            <w:r>
              <w:rPr xsi:nil="true">
                <w:b w:val="true"/>
              </w:rPr>
              <w:t>Volume</w:t>
            </w:r>
            <w:r>
              <w:rPr xsi:nil="true">
                <w:b w:val="true"/>
              </w:rPr>
              <w:t>(mL/24 h)</w:t>
            </w:r>
          </w:p>
        </w:tc>
        <w:tc>
          <w:tcPr>
            <w:tcBorders>
              <w:top w:val="basicThinLines"/>
            </w:tcBorders>
          </w:tcPr>
          <w:tcPr>
            <w:vAlign w:val="center"/>
          </w:tcPr>
          <w:p>
            <w:pPr>
              <w:jc w:val="center"/>
            </w:pPr>
            <w:r/>
            <w:r>
              <w:rPr xsi:nil="true">
                <w:b w:val="true"/>
              </w:rPr>
              <w:t>pH</w:t>
            </w:r>
          </w:p>
        </w:tc>
        <w:tc>
          <w:tcPr>
            <w:tcBorders/>
          </w:tcPr>
          <w:tcPr>
            <w:vAlign w:val="center"/>
          </w:tcPr>
          <w:p>
            <w:pPr>
              <w:jc w:val="left"/>
            </w:pPr>
            <w:r/>
          </w:p>
        </w:tc>
        <w:tc>
          <w:tcPr>
            <w:tcBorders>
              <w:top w:val="basicThinLines"/>
            </w:tcBorders>
          </w:tcPr>
          <w:tcPr>
            <w:vAlign w:val="center"/>
          </w:tcPr>
          <w:p>
            <w:pPr>
              <w:jc w:val="center"/>
            </w:pPr>
            <w:r/>
            <w:r>
              <w:rPr xsi:nil="true">
                <w:b w:val="true"/>
              </w:rPr>
              <w:t>Volume</w:t>
            </w:r>
            <w:r>
              <w:rPr xsi:nil="true">
                <w:b w:val="true"/>
              </w:rPr>
              <w:t>(mL/24 h)</w:t>
            </w:r>
          </w:p>
        </w:tc>
        <w:tc>
          <w:tcPr>
            <w:tcBorders>
              <w:top w:val="basicThinLines"/>
            </w:tcBorders>
          </w:tcPr>
          <w:tcPr>
            <w:vAlign w:val="center"/>
          </w:tcPr>
          <w:p>
            <w:pPr>
              <w:jc w:val="center"/>
            </w:pPr>
            <w:r/>
            <w:r>
              <w:rPr xsi:nil="true">
                <w:b w:val="true"/>
              </w:rPr>
              <w:t>pH</w:t>
            </w:r>
          </w:p>
        </w:tc>
        <w:tc>
          <w:tcPr>
            <w:tcBorders/>
          </w:tcPr>
          <w:tcPr>
            <w:vAlign w:val="center"/>
          </w:tcPr>
          <w:p>
            <w:pPr>
              <w:jc w:val="left"/>
            </w:pPr>
            <w:r/>
          </w:p>
        </w:tc>
        <w:tc>
          <w:tcPr>
            <w:tcBorders>
              <w:top w:val="basicThinLines"/>
            </w:tcBorders>
          </w:tcPr>
          <w:tcPr>
            <w:vAlign w:val="center"/>
          </w:tcPr>
          <w:p>
            <w:pPr>
              <w:jc w:val="center"/>
            </w:pPr>
            <w:r/>
            <w:r>
              <w:rPr xsi:nil="true">
                <w:b w:val="true"/>
              </w:rPr>
              <w:t>Volume</w:t>
            </w:r>
            <w:r>
              <w:rPr xsi:nil="true">
                <w:b w:val="true"/>
              </w:rPr>
              <w:t>(mL/24 h)</w:t>
            </w:r>
          </w:p>
        </w:tc>
        <w:tc>
          <w:tcPr>
            <w:tcBorders>
              <w:top w:val="basicThinLines"/>
            </w:tcBorders>
          </w:tcPr>
          <w:tcPr>
            <w:vAlign w:val="center"/>
          </w:tcPr>
          <w:p>
            <w:pPr>
              <w:jc w:val="center"/>
            </w:pPr>
            <w:r/>
            <w:r>
              <w:rPr xsi:nil="true">
                <w:b w:val="true"/>
              </w:rPr>
              <w:t>pH</w:t>
            </w:r>
          </w:p>
        </w:tc>
        <w:tc>
          <w:tcPr>
            <w:tcBorders/>
          </w:tcPr>
          <w:tcPr>
            <w:vAlign w:val="center"/>
          </w:tcPr>
          <w:p>
            <w:pPr>
              <w:jc w:val="left"/>
            </w:pPr>
            <w:r/>
          </w:p>
        </w:tc>
        <w:tc>
          <w:tcPr>
            <w:tcBorders>
              <w:top w:val="basicThinLines"/>
            </w:tcBorders>
          </w:tcPr>
          <w:tcPr>
            <w:vAlign w:val="center"/>
          </w:tcPr>
          <w:p>
            <w:pPr>
              <w:jc w:val="center"/>
            </w:pPr>
            <w:r/>
            <w:r>
              <w:rPr xsi:nil="true">
                <w:b w:val="true"/>
              </w:rPr>
              <w:t>Volume</w:t>
            </w:r>
            <w:r>
              <w:rPr xsi:nil="true">
                <w:b w:val="true"/>
              </w:rPr>
              <w:t>(mL/24 h)</w:t>
            </w:r>
          </w:p>
        </w:tc>
        <w:tc>
          <w:tcPr>
            <w:tcBorders>
              <w:top w:val="basicThinLines"/>
            </w:tcBorders>
          </w:tcPr>
          <w:tcPr>
            <w:vAlign w:val="center"/>
          </w:tcPr>
          <w:p>
            <w:pPr>
              <w:jc w:val="center"/>
            </w:pPr>
            <w:r/>
            <w:r>
              <w:rPr xsi:nil="true">
                <w:b w:val="true"/>
              </w:rPr>
              <w:t>pH</w:t>
            </w:r>
          </w:p>
        </w:tc>
        <w:tc>
          <w:p/>
        </w:tc>
      </w:tr>
      <w:tr>
        <w:tc>
          <w:tcPr>
            <w:tcBorders>
              <w:top w:val="basicThinLines"/>
            </w:tcBorders>
          </w:tcPr>
          <w:tcPr>
            <w:vAlign w:val="center"/>
          </w:tcPr>
          <w:p>
            <w:pPr>
              <w:jc w:val="center"/>
            </w:pPr>
            <w:r/>
            <w:r>
              <w:rPr xsi:nil="true"/>
              <w:t xml:space="preserve">  1</w:t>
            </w:r>
          </w:p>
        </w:tc>
        <w:tc>
          <w:tcPr>
            <w:tcBorders>
              <w:top w:val="basicThinLines"/>
            </w:tcBorders>
          </w:tcPr>
          <w:tcPr>
            <w:vAlign w:val="center"/>
          </w:tcPr>
          <w:p>
            <w:pPr>
              <w:jc w:val="center"/>
            </w:pPr>
            <w:r/>
            <w:r>
              <w:rPr xsi:nil="true"/>
              <w:t>7.1</w:t>
            </w:r>
          </w:p>
        </w:tc>
        <w:tc>
          <w:tcPr>
            <w:tcBorders>
              <w:top w:val="basicThinLines"/>
            </w:tcBorders>
          </w:tcPr>
          <w:tcPr>
            <w:vAlign w:val="center"/>
          </w:tcPr>
          <w:p>
            <w:pPr>
              <w:jc w:val="center"/>
            </w:pPr>
            <w:r/>
            <w:r>
              <w:rPr xsi:nil="true"/>
              <w:t>6</w:t>
            </w:r>
          </w:p>
        </w:tc>
        <w:tc>
          <w:tcPr>
            <w:tcBorders>
              <w:top w:val="basicThinLines"/>
            </w:tcBorders>
          </w:tcPr>
          <w:tcPr>
            <w:vAlign w:val="center"/>
          </w:tcPr>
          <w:p>
            <w:pPr>
              <w:jc w:val="left"/>
            </w:pPr>
            <w:r/>
          </w:p>
        </w:tc>
        <w:tc>
          <w:tcPr>
            <w:tcBorders>
              <w:top w:val="basicThinLines"/>
            </w:tcBorders>
          </w:tcPr>
          <w:tcPr>
            <w:vAlign w:val="center"/>
          </w:tcPr>
          <w:p>
            <w:pPr>
              <w:jc w:val="center"/>
            </w:pPr>
            <w:r/>
            <w:r>
              <w:rPr xsi:nil="true"/>
              <w:t>7.2</w:t>
            </w:r>
          </w:p>
        </w:tc>
        <w:tc>
          <w:tcPr>
            <w:tcBorders>
              <w:top w:val="basicThinLines"/>
            </w:tcBorders>
          </w:tcPr>
          <w:tcPr>
            <w:vAlign w:val="center"/>
          </w:tcPr>
          <w:p>
            <w:pPr>
              <w:jc w:val="center"/>
            </w:pPr>
            <w:r/>
            <w:r>
              <w:rPr xsi:nil="true"/>
              <w:t>6</w:t>
            </w:r>
          </w:p>
        </w:tc>
        <w:tc>
          <w:tcPr>
            <w:tcBorders>
              <w:top w:val="basicThinLines"/>
            </w:tcBorders>
          </w:tcPr>
          <w:tcPr>
            <w:vAlign w:val="center"/>
          </w:tcPr>
          <w:p>
            <w:pPr>
              <w:jc w:val="left"/>
            </w:pPr>
            <w:r/>
          </w:p>
        </w:tc>
        <w:tc>
          <w:tcPr>
            <w:tcBorders>
              <w:top w:val="basicThinLines"/>
            </w:tcBorders>
          </w:tcPr>
          <w:tcPr>
            <w:vAlign w:val="center"/>
          </w:tcPr>
          <w:p>
            <w:pPr>
              <w:jc w:val="center"/>
            </w:pPr>
            <w:r/>
            <w:r>
              <w:rPr xsi:nil="true"/>
              <w:t>7.4</w:t>
            </w:r>
          </w:p>
        </w:tc>
        <w:tc>
          <w:tcPr>
            <w:tcBorders>
              <w:top w:val="basicThinLines"/>
            </w:tcBorders>
          </w:tcPr>
          <w:tcPr>
            <w:vAlign w:val="center"/>
          </w:tcPr>
          <w:p>
            <w:pPr>
              <w:jc w:val="center"/>
            </w:pPr>
            <w:r/>
            <w:r>
              <w:rPr xsi:nil="true"/>
              <w:t>6</w:t>
            </w:r>
          </w:p>
        </w:tc>
        <w:tc>
          <w:tcPr>
            <w:tcBorders>
              <w:top w:val="basicThinLines"/>
            </w:tcBorders>
          </w:tcPr>
          <w:tcPr>
            <w:vAlign w:val="center"/>
          </w:tcPr>
          <w:p>
            <w:pPr>
              <w:jc w:val="left"/>
            </w:pPr>
            <w:r/>
          </w:p>
        </w:tc>
        <w:tc>
          <w:tcPr>
            <w:tcBorders>
              <w:top w:val="basicThinLines"/>
            </w:tcBorders>
          </w:tcPr>
          <w:tcPr>
            <w:vAlign w:val="center"/>
          </w:tcPr>
          <w:p>
            <w:pPr>
              <w:jc w:val="center"/>
            </w:pPr>
            <w:r/>
            <w:r>
              <w:rPr xsi:nil="true"/>
              <w:t>6.5</w:t>
            </w:r>
          </w:p>
        </w:tc>
        <w:tc>
          <w:tcPr>
            <w:tcBorders>
              <w:top w:val="basicThinLines"/>
            </w:tcBorders>
          </w:tcPr>
          <w:tcPr>
            <w:vAlign w:val="center"/>
          </w:tcPr>
          <w:p>
            <w:pPr>
              <w:jc w:val="center"/>
            </w:pPr>
            <w:r/>
            <w:r>
              <w:rPr xsi:nil="true"/>
              <w:t>7</w:t>
            </w:r>
          </w:p>
        </w:tc>
        <w:tc>
          <w:tcPr>
            <w:tcBorders>
              <w:top w:val="basicThinLines"/>
            </w:tcBorders>
          </w:tcPr>
          <w:tcPr>
            <w:vAlign w:val="center"/>
          </w:tcPr>
          <w:p>
            <w:pPr>
              <w:jc w:val="left"/>
            </w:pPr>
            <w:r/>
          </w:p>
        </w:tc>
        <w:tc>
          <w:tcPr>
            <w:tcBorders>
              <w:top w:val="basicThinLines"/>
            </w:tcBorders>
          </w:tcPr>
          <w:tcPr>
            <w:vAlign w:val="center"/>
          </w:tcPr>
          <w:p>
            <w:pPr>
              <w:jc w:val="center"/>
            </w:pPr>
            <w:r/>
            <w:r>
              <w:rPr xsi:nil="true"/>
              <w:t>7.0</w:t>
            </w:r>
          </w:p>
        </w:tc>
        <w:tc>
          <w:tcPr>
            <w:tcBorders>
              <w:top w:val="basicThinLines"/>
            </w:tcBorders>
          </w:tcPr>
          <w:tcPr>
            <w:vAlign w:val="center"/>
          </w:tcPr>
          <w:p>
            <w:pPr>
              <w:jc w:val="center"/>
            </w:pPr>
            <w:r/>
            <w:r>
              <w:rPr xsi:nil="true"/>
              <w:t>6</w:t>
            </w:r>
          </w:p>
        </w:tc>
      </w:tr>
      <w:tr>
        <w:tc>
          <w:tcPr>
            <w:tcBorders/>
          </w:tcPr>
          <w:tcPr>
            <w:vAlign w:val="center"/>
          </w:tcPr>
          <w:p>
            <w:pPr>
              <w:jc w:val="center"/>
            </w:pPr>
            <w:r/>
            <w:r>
              <w:rPr xsi:nil="true"/>
              <w:t xml:space="preserve">  7</w:t>
            </w:r>
          </w:p>
        </w:tc>
        <w:tc>
          <w:tcPr>
            <w:tcBorders/>
          </w:tcPr>
          <w:tcPr>
            <w:vAlign w:val="center"/>
          </w:tcPr>
          <w:p>
            <w:pPr>
              <w:jc w:val="center"/>
            </w:pPr>
            <w:r/>
            <w:r>
              <w:rPr xsi:nil="true"/>
              <w:t>7.3</w:t>
            </w:r>
          </w:p>
        </w:tc>
        <w:tc>
          <w:tcPr>
            <w:tcBorders/>
          </w:tcPr>
          <w:tcPr>
            <w:vAlign w:val="center"/>
          </w:tcPr>
          <w:p>
            <w:pPr>
              <w:jc w:val="center"/>
            </w:pPr>
            <w:r/>
            <w:r>
              <w:rPr xsi:nil="true"/>
              <w:t>7</w:t>
            </w:r>
          </w:p>
        </w:tc>
        <w:tc>
          <w:tcPr>
            <w:tcBorders/>
          </w:tcPr>
          <w:tcPr>
            <w:vAlign w:val="center"/>
          </w:tcPr>
          <w:p>
            <w:pPr>
              <w:jc w:val="left"/>
            </w:pPr>
            <w:r/>
          </w:p>
        </w:tc>
        <w:tc>
          <w:tcPr>
            <w:tcBorders/>
          </w:tcPr>
          <w:tcPr>
            <w:vAlign w:val="center"/>
          </w:tcPr>
          <w:p>
            <w:pPr>
              <w:jc w:val="center"/>
            </w:pPr>
            <w:r/>
            <w:r>
              <w:rPr xsi:nil="true"/>
              <w:t>6.5</w:t>
            </w:r>
          </w:p>
        </w:tc>
        <w:tc>
          <w:tcPr>
            <w:tcBorders/>
          </w:tcPr>
          <w:tcPr>
            <w:vAlign w:val="center"/>
          </w:tcPr>
          <w:p>
            <w:pPr>
              <w:jc w:val="center"/>
            </w:pPr>
            <w:r/>
            <w:r>
              <w:rPr xsi:nil="true"/>
              <w:t>5</w:t>
            </w:r>
          </w:p>
        </w:tc>
        <w:tc>
          <w:tcPr>
            <w:tcBorders/>
          </w:tcPr>
          <w:tcPr>
            <w:vAlign w:val="center"/>
          </w:tcPr>
          <w:p>
            <w:pPr>
              <w:jc w:val="left"/>
            </w:pPr>
            <w:r/>
          </w:p>
        </w:tc>
        <w:tc>
          <w:tcPr>
            <w:tcBorders/>
          </w:tcPr>
          <w:tcPr>
            <w:vAlign w:val="center"/>
          </w:tcPr>
          <w:p>
            <w:pPr>
              <w:jc w:val="center"/>
            </w:pPr>
            <w:r/>
            <w:r>
              <w:rPr xsi:nil="true"/>
              <w:t>2.0</w:t>
            </w:r>
          </w:p>
        </w:tc>
        <w:tc>
          <w:tcPr>
            <w:tcBorders/>
          </w:tcPr>
          <w:tcPr>
            <w:vAlign w:val="center"/>
          </w:tcPr>
          <w:p>
            <w:pPr>
              <w:jc w:val="center"/>
            </w:pPr>
            <w:r/>
            <w:r>
              <w:rPr xsi:nil="true"/>
              <w:t>6</w:t>
            </w:r>
          </w:p>
        </w:tc>
        <w:tc>
          <w:tcPr>
            <w:tcBorders/>
          </w:tcPr>
          <w:tcPr>
            <w:vAlign w:val="center"/>
          </w:tcPr>
          <w:p>
            <w:pPr>
              <w:jc w:val="left"/>
            </w:pPr>
            <w:r/>
          </w:p>
        </w:tc>
        <w:tc>
          <w:tcPr>
            <w:tcBorders/>
          </w:tcPr>
          <w:tcPr>
            <w:vAlign w:val="center"/>
          </w:tcPr>
          <w:p>
            <w:pPr>
              <w:jc w:val="center"/>
            </w:pPr>
            <w:r/>
            <w:r>
              <w:rPr xsi:nil="true"/>
              <w:t>6.2</w:t>
            </w:r>
          </w:p>
        </w:tc>
        <w:tc>
          <w:tcPr>
            <w:tcBorders/>
          </w:tcPr>
          <w:tcPr>
            <w:vAlign w:val="center"/>
          </w:tcPr>
          <w:p>
            <w:pPr>
              <w:jc w:val="center"/>
            </w:pPr>
            <w:r/>
            <w:r>
              <w:rPr xsi:nil="true"/>
              <w:t>7</w:t>
            </w:r>
          </w:p>
        </w:tc>
        <w:tc>
          <w:tcPr>
            <w:tcBorders/>
          </w:tcPr>
          <w:tcPr>
            <w:vAlign w:val="center"/>
          </w:tcPr>
          <w:p>
            <w:pPr>
              <w:jc w:val="left"/>
            </w:pPr>
            <w:r/>
          </w:p>
        </w:tc>
        <w:tc>
          <w:tcPr>
            <w:tcBorders/>
          </w:tcPr>
          <w:tcPr>
            <w:vAlign w:val="center"/>
          </w:tcPr>
          <w:p>
            <w:pPr>
              <w:jc w:val="center"/>
            </w:pPr>
            <w:r/>
            <w:r>
              <w:rPr xsi:nil="true"/>
              <w:t>6.4</w:t>
            </w:r>
          </w:p>
        </w:tc>
        <w:tc>
          <w:tcPr>
            <w:tcBorders/>
          </w:tcPr>
          <w:tcPr>
            <w:vAlign w:val="center"/>
          </w:tcPr>
          <w:p>
            <w:pPr>
              <w:jc w:val="center"/>
            </w:pPr>
            <w:r/>
            <w:r>
              <w:rPr xsi:nil="true"/>
              <w:t>7</w:t>
            </w:r>
          </w:p>
        </w:tc>
      </w:tr>
      <w:tr>
        <w:tc>
          <w:tcPr>
            <w:tcBorders/>
          </w:tcPr>
          <w:tcPr>
            <w:vAlign w:val="center"/>
          </w:tcPr>
          <w:p>
            <w:pPr>
              <w:jc w:val="center"/>
            </w:pPr>
            <w:r/>
            <w:r>
              <w:rPr xsi:nil="true"/>
              <w:t>14</w:t>
            </w:r>
          </w:p>
        </w:tc>
        <w:tc>
          <w:tcPr>
            <w:tcBorders/>
          </w:tcPr>
          <w:tcPr>
            <w:vAlign w:val="center"/>
          </w:tcPr>
          <w:p>
            <w:pPr>
              <w:jc w:val="center"/>
            </w:pPr>
            <w:r/>
            <w:r>
              <w:rPr xsi:nil="true"/>
              <w:t>7.5</w:t>
            </w:r>
          </w:p>
        </w:tc>
        <w:tc>
          <w:tcPr>
            <w:tcBorders/>
          </w:tcPr>
          <w:tcPr>
            <w:vAlign w:val="center"/>
          </w:tcPr>
          <w:p>
            <w:pPr>
              <w:jc w:val="center"/>
            </w:pPr>
            <w:r/>
            <w:r>
              <w:rPr xsi:nil="true"/>
              <w:t>6</w:t>
            </w:r>
          </w:p>
        </w:tc>
        <w:tc>
          <w:tcPr>
            <w:tcBorders/>
          </w:tcPr>
          <w:tcPr>
            <w:vAlign w:val="center"/>
          </w:tcPr>
          <w:p>
            <w:pPr>
              <w:jc w:val="left"/>
            </w:pPr>
            <w:r/>
          </w:p>
        </w:tc>
        <w:tc>
          <w:tcPr>
            <w:tcBorders/>
          </w:tcPr>
          <w:tcPr>
            <w:vAlign w:val="center"/>
          </w:tcPr>
          <w:p>
            <w:pPr>
              <w:jc w:val="center"/>
            </w:pPr>
            <w:r/>
            <w:r>
              <w:rPr xsi:nil="true"/>
              <w:t>5.2</w:t>
            </w:r>
          </w:p>
        </w:tc>
        <w:tc>
          <w:tcPr>
            <w:tcBorders/>
          </w:tcPr>
          <w:tcPr>
            <w:vAlign w:val="center"/>
          </w:tcPr>
          <w:p>
            <w:pPr>
              <w:jc w:val="center"/>
            </w:pPr>
            <w:r/>
            <w:r>
              <w:rPr xsi:nil="true"/>
              <w:t>5</w:t>
            </w:r>
          </w:p>
        </w:tc>
        <w:tc>
          <w:tcPr>
            <w:tcBorders/>
          </w:tcPr>
          <w:tcPr>
            <w:vAlign w:val="center"/>
          </w:tcPr>
          <w:p>
            <w:pPr>
              <w:jc w:val="left"/>
            </w:pPr>
            <w:r/>
          </w:p>
        </w:tc>
        <w:tc>
          <w:tcPr>
            <w:tcBorders/>
          </w:tcPr>
          <w:tcPr>
            <w:vAlign w:val="center"/>
          </w:tcPr>
          <w:p>
            <w:pPr>
              <w:jc w:val="center"/>
            </w:pPr>
            <w:r/>
            <w:r>
              <w:rPr xsi:nil="true"/>
              <w:t>5.4</w:t>
            </w:r>
          </w:p>
        </w:tc>
        <w:tc>
          <w:tcPr>
            <w:tcBorders/>
          </w:tcPr>
          <w:tcPr>
            <w:vAlign w:val="center"/>
          </w:tcPr>
          <w:p>
            <w:pPr>
              <w:jc w:val="center"/>
            </w:pPr>
            <w:r/>
            <w:r>
              <w:rPr xsi:nil="true"/>
              <w:t>7</w:t>
            </w:r>
          </w:p>
        </w:tc>
        <w:tc>
          <w:tcPr>
            <w:tcBorders/>
          </w:tcPr>
          <w:tcPr>
            <w:vAlign w:val="center"/>
          </w:tcPr>
          <w:p>
            <w:pPr>
              <w:jc w:val="left"/>
            </w:pPr>
            <w:r/>
          </w:p>
        </w:tc>
        <w:tc>
          <w:tcPr>
            <w:tcBorders/>
          </w:tcPr>
          <w:tcPr>
            <w:vAlign w:val="center"/>
          </w:tcPr>
          <w:p>
            <w:pPr>
              <w:jc w:val="center"/>
            </w:pPr>
            <w:r/>
            <w:r>
              <w:rPr xsi:nil="true"/>
              <w:t>5.7</w:t>
            </w:r>
          </w:p>
        </w:tc>
        <w:tc>
          <w:tcPr>
            <w:tcBorders/>
          </w:tcPr>
          <w:tcPr>
            <w:vAlign w:val="center"/>
          </w:tcPr>
          <w:p>
            <w:pPr>
              <w:jc w:val="center"/>
            </w:pPr>
            <w:r/>
            <w:r>
              <w:rPr xsi:nil="true"/>
              <w:t>6</w:t>
            </w:r>
          </w:p>
        </w:tc>
        <w:tc>
          <w:tcPr>
            <w:tcBorders/>
          </w:tcPr>
          <w:tcPr>
            <w:vAlign w:val="center"/>
          </w:tcPr>
          <w:p>
            <w:pPr>
              <w:jc w:val="left"/>
            </w:pPr>
            <w:r/>
          </w:p>
        </w:tc>
        <w:tc>
          <w:tcPr>
            <w:tcBorders/>
          </w:tcPr>
          <w:tcPr>
            <w:vAlign w:val="center"/>
          </w:tcPr>
          <w:p>
            <w:pPr>
              <w:jc w:val="center"/>
            </w:pPr>
            <w:r/>
            <w:r>
              <w:rPr xsi:nil="true"/>
              <w:t>6.2</w:t>
            </w:r>
          </w:p>
        </w:tc>
        <w:tc>
          <w:tcPr>
            <w:tcBorders/>
          </w:tcPr>
          <w:tcPr>
            <w:vAlign w:val="center"/>
          </w:tcPr>
          <w:p>
            <w:pPr>
              <w:jc w:val="center"/>
            </w:pPr>
            <w:r/>
            <w:r>
              <w:rPr xsi:nil="true"/>
              <w:t>6</w:t>
            </w:r>
          </w:p>
        </w:tc>
      </w:tr>
      <w:tr>
        <w:tc>
          <w:tcPr>
            <w:tcBorders/>
          </w:tcPr>
          <w:tcPr>
            <w:vAlign w:val="center"/>
          </w:tcPr>
          <w:p>
            <w:pPr>
              <w:jc w:val="center"/>
            </w:pPr>
            <w:r/>
            <w:r>
              <w:rPr xsi:nil="true"/>
              <w:t>21</w:t>
            </w:r>
          </w:p>
        </w:tc>
        <w:tc>
          <w:tcPr>
            <w:tcBorders/>
          </w:tcPr>
          <w:tcPr>
            <w:vAlign w:val="center"/>
          </w:tcPr>
          <w:p>
            <w:pPr>
              <w:jc w:val="center"/>
            </w:pPr>
            <w:r/>
            <w:r>
              <w:rPr xsi:nil="true"/>
              <w:t>7.2</w:t>
            </w:r>
          </w:p>
        </w:tc>
        <w:tc>
          <w:tcPr>
            <w:tcBorders/>
          </w:tcPr>
          <w:tcPr>
            <w:vAlign w:val="center"/>
          </w:tcPr>
          <w:p>
            <w:pPr>
              <w:jc w:val="center"/>
            </w:pPr>
            <w:r/>
            <w:r>
              <w:rPr xsi:nil="true"/>
              <w:t>6</w:t>
            </w:r>
          </w:p>
        </w:tc>
        <w:tc>
          <w:tcPr>
            <w:tcBorders/>
          </w:tcPr>
          <w:tcPr>
            <w:vAlign w:val="center"/>
          </w:tcPr>
          <w:p>
            <w:pPr>
              <w:jc w:val="left"/>
            </w:pPr>
            <w:r/>
          </w:p>
        </w:tc>
        <w:tc>
          <w:tcPr>
            <w:tcBorders/>
          </w:tcPr>
          <w:tcPr>
            <w:vAlign w:val="center"/>
          </w:tcPr>
          <w:p>
            <w:pPr>
              <w:jc w:val="center"/>
            </w:pPr>
            <w:r/>
            <w:r>
              <w:rPr xsi:nil="true"/>
              <w:t>4.5</w:t>
            </w:r>
          </w:p>
        </w:tc>
        <w:tc>
          <w:tcPr>
            <w:tcBorders/>
          </w:tcPr>
          <w:tcPr>
            <w:vAlign w:val="center"/>
          </w:tcPr>
          <w:p>
            <w:pPr>
              <w:jc w:val="center"/>
            </w:pPr>
            <w:r/>
            <w:r>
              <w:rPr xsi:nil="true"/>
              <w:t>4</w:t>
            </w:r>
          </w:p>
        </w:tc>
        <w:tc>
          <w:tcPr>
            <w:tcBorders/>
          </w:tcPr>
          <w:tcPr>
            <w:vAlign w:val="center"/>
          </w:tcPr>
          <w:p>
            <w:pPr>
              <w:jc w:val="left"/>
            </w:pPr>
            <w:r/>
          </w:p>
        </w:tc>
        <w:tc>
          <w:tcPr>
            <w:tcBorders/>
          </w:tcPr>
          <w:tcPr>
            <w:vAlign w:val="center"/>
          </w:tcPr>
          <w:p>
            <w:pPr>
              <w:jc w:val="center"/>
            </w:pPr>
            <w:r/>
            <w:r>
              <w:rPr xsi:nil="true"/>
              <w:t>5.6</w:t>
            </w:r>
          </w:p>
        </w:tc>
        <w:tc>
          <w:tcPr>
            <w:tcBorders/>
          </w:tcPr>
          <w:tcPr>
            <w:vAlign w:val="center"/>
          </w:tcPr>
          <w:p>
            <w:pPr>
              <w:jc w:val="center"/>
            </w:pPr>
            <w:r/>
            <w:r>
              <w:rPr xsi:nil="true"/>
              <w:t>7</w:t>
            </w:r>
          </w:p>
        </w:tc>
        <w:tc>
          <w:tcPr>
            <w:tcBorders/>
          </w:tcPr>
          <w:tcPr>
            <w:vAlign w:val="center"/>
          </w:tcPr>
          <w:p>
            <w:pPr>
              <w:jc w:val="left"/>
            </w:pPr>
            <w:r/>
          </w:p>
        </w:tc>
        <w:tc>
          <w:tcPr>
            <w:tcBorders/>
          </w:tcPr>
          <w:tcPr>
            <w:vAlign w:val="center"/>
          </w:tcPr>
          <w:p>
            <w:pPr>
              <w:jc w:val="center"/>
            </w:pPr>
            <w:r/>
            <w:r>
              <w:rPr xsi:nil="true"/>
              <w:t>5.8</w:t>
            </w:r>
          </w:p>
        </w:tc>
        <w:tc>
          <w:tcPr>
            <w:tcBorders/>
          </w:tcPr>
          <w:tcPr>
            <w:vAlign w:val="center"/>
          </w:tcPr>
          <w:p>
            <w:pPr>
              <w:jc w:val="center"/>
            </w:pPr>
            <w:r/>
            <w:r>
              <w:rPr xsi:nil="true"/>
              <w:t>6</w:t>
            </w:r>
          </w:p>
        </w:tc>
        <w:tc>
          <w:tcPr>
            <w:tcBorders/>
          </w:tcPr>
          <w:tcPr>
            <w:vAlign w:val="center"/>
          </w:tcPr>
          <w:p>
            <w:pPr>
              <w:jc w:val="left"/>
            </w:pPr>
            <w:r/>
          </w:p>
        </w:tc>
        <w:tc>
          <w:tcPr>
            <w:tcBorders/>
          </w:tcPr>
          <w:tcPr>
            <w:vAlign w:val="center"/>
          </w:tcPr>
          <w:p>
            <w:pPr>
              <w:jc w:val="center"/>
            </w:pPr>
            <w:r/>
            <w:r>
              <w:rPr xsi:nil="true"/>
              <w:t>7.3</w:t>
            </w:r>
          </w:p>
        </w:tc>
        <w:tc>
          <w:tcPr>
            <w:tcBorders/>
          </w:tcPr>
          <w:tcPr>
            <w:vAlign w:val="center"/>
          </w:tcPr>
          <w:p>
            <w:pPr>
              <w:jc w:val="center"/>
            </w:pPr>
            <w:r/>
            <w:r>
              <w:rPr xsi:nil="true"/>
              <w:t>8</w:t>
            </w:r>
          </w:p>
        </w:tc>
      </w:tr>
      <w:tr>
        <w:tc>
          <w:tcPr>
            <w:tcBorders>
              <w:bottom w:val="basicThinLines"/>
            </w:tcBorders>
          </w:tcPr>
          <w:tcPr>
            <w:vAlign w:val="center"/>
          </w:tcPr>
          <w:p>
            <w:pPr>
              <w:jc w:val="center"/>
            </w:pPr>
            <w:r/>
            <w:r>
              <w:rPr xsi:nil="true"/>
              <w:t>28</w:t>
            </w:r>
          </w:p>
        </w:tc>
        <w:tc>
          <w:tcPr>
            <w:tcBorders>
              <w:bottom w:val="basicThinLines"/>
            </w:tcBorders>
          </w:tcPr>
          <w:tcPr>
            <w:vAlign w:val="center"/>
          </w:tcPr>
          <w:p>
            <w:pPr>
              <w:jc w:val="center"/>
            </w:pPr>
            <w:r/>
            <w:r>
              <w:rPr xsi:nil="true"/>
              <w:t>7.4</w:t>
            </w:r>
          </w:p>
        </w:tc>
        <w:tc>
          <w:tcPr>
            <w:tcBorders>
              <w:bottom w:val="basicThinLines"/>
            </w:tcBorders>
          </w:tcPr>
          <w:tcPr>
            <w:vAlign w:val="center"/>
          </w:tcPr>
          <w:p>
            <w:pPr>
              <w:jc w:val="center"/>
            </w:pPr>
            <w:r/>
            <w:r>
              <w:rPr xsi:nil="true"/>
              <w:t>6</w:t>
            </w:r>
          </w:p>
        </w:tc>
        <w:tc>
          <w:tcPr>
            <w:tcBorders>
              <w:bottom w:val="basicThinLines"/>
            </w:tcBorders>
          </w:tcPr>
          <w:tcPr>
            <w:vAlign w:val="center"/>
          </w:tcPr>
          <w:p>
            <w:pPr>
              <w:jc w:val="left"/>
            </w:pPr>
            <w:r/>
          </w:p>
        </w:tc>
        <w:tc>
          <w:tcPr>
            <w:tcBorders>
              <w:bottom w:val="basicThinLines"/>
            </w:tcBorders>
          </w:tcPr>
          <w:tcPr>
            <w:vAlign w:val="center"/>
          </w:tcPr>
          <w:p>
            <w:pPr>
              <w:jc w:val="center"/>
            </w:pPr>
            <w:r/>
            <w:r>
              <w:rPr xsi:nil="true"/>
              <w:t>3.2</w:t>
            </w:r>
          </w:p>
        </w:tc>
        <w:tc>
          <w:tcPr>
            <w:tcBorders>
              <w:bottom w:val="basicThinLines"/>
            </w:tcBorders>
          </w:tcPr>
          <w:tcPr>
            <w:vAlign w:val="center"/>
          </w:tcPr>
          <w:p>
            <w:pPr>
              <w:jc w:val="center"/>
            </w:pPr>
            <w:r/>
            <w:r>
              <w:rPr xsi:nil="true"/>
              <w:t>5</w:t>
            </w:r>
          </w:p>
        </w:tc>
        <w:tc>
          <w:tcPr>
            <w:tcBorders>
              <w:bottom w:val="basicThinLines"/>
            </w:tcBorders>
          </w:tcPr>
          <w:tcPr>
            <w:vAlign w:val="center"/>
          </w:tcPr>
          <w:p>
            <w:pPr>
              <w:jc w:val="left"/>
            </w:pPr>
            <w:r/>
          </w:p>
        </w:tc>
        <w:tc>
          <w:tcPr>
            <w:tcBorders>
              <w:bottom w:val="basicThinLines"/>
            </w:tcBorders>
          </w:tcPr>
          <w:tcPr>
            <w:vAlign w:val="center"/>
          </w:tcPr>
          <w:p>
            <w:pPr>
              <w:jc w:val="center"/>
            </w:pPr>
            <w:r/>
            <w:r>
              <w:rPr xsi:nil="true"/>
              <w:t>6.8</w:t>
            </w:r>
          </w:p>
        </w:tc>
        <w:tc>
          <w:tcPr>
            <w:tcBorders>
              <w:bottom w:val="basicThinLines"/>
            </w:tcBorders>
          </w:tcPr>
          <w:tcPr>
            <w:vAlign w:val="center"/>
          </w:tcPr>
          <w:p>
            <w:pPr>
              <w:jc w:val="center"/>
            </w:pPr>
            <w:r/>
            <w:r>
              <w:rPr xsi:nil="true"/>
              <w:t>6</w:t>
            </w:r>
          </w:p>
        </w:tc>
        <w:tc>
          <w:tcPr>
            <w:tcBorders>
              <w:bottom w:val="basicThinLines"/>
            </w:tcBorders>
          </w:tcPr>
          <w:tcPr>
            <w:vAlign w:val="center"/>
          </w:tcPr>
          <w:p>
            <w:pPr>
              <w:jc w:val="left"/>
            </w:pPr>
            <w:r/>
          </w:p>
        </w:tc>
        <w:tc>
          <w:tcPr>
            <w:tcBorders>
              <w:bottom w:val="basicThinLines"/>
            </w:tcBorders>
          </w:tcPr>
          <w:tcPr>
            <w:vAlign w:val="center"/>
          </w:tcPr>
          <w:p>
            <w:pPr>
              <w:jc w:val="center"/>
            </w:pPr>
            <w:r/>
            <w:r>
              <w:rPr xsi:nil="true"/>
              <w:t>6.5</w:t>
            </w:r>
          </w:p>
        </w:tc>
        <w:tc>
          <w:tcPr>
            <w:tcBorders>
              <w:bottom w:val="basicThinLines"/>
            </w:tcBorders>
          </w:tcPr>
          <w:tcPr>
            <w:vAlign w:val="center"/>
          </w:tcPr>
          <w:p>
            <w:pPr>
              <w:jc w:val="center"/>
            </w:pPr>
            <w:r/>
            <w:r>
              <w:rPr xsi:nil="true"/>
              <w:t>7</w:t>
            </w:r>
          </w:p>
        </w:tc>
        <w:tc>
          <w:tcPr>
            <w:tcBorders>
              <w:bottom w:val="basicThinLines"/>
            </w:tcBorders>
          </w:tcPr>
          <w:tcPr>
            <w:vAlign w:val="center"/>
          </w:tcPr>
          <w:p>
            <w:pPr>
              <w:jc w:val="left"/>
            </w:pPr>
            <w:r/>
          </w:p>
        </w:tc>
        <w:tc>
          <w:tcPr>
            <w:tcBorders>
              <w:bottom w:val="basicThinLines"/>
            </w:tcBorders>
          </w:tcPr>
          <w:tcPr>
            <w:vAlign w:val="center"/>
          </w:tcPr>
          <w:p>
            <w:pPr>
              <w:jc w:val="center"/>
            </w:pPr>
            <w:r/>
            <w:r>
              <w:rPr xsi:nil="true"/>
              <w:t>7.2</w:t>
            </w:r>
          </w:p>
        </w:tc>
        <w:tc>
          <w:tcPr>
            <w:tcBorders>
              <w:bottom w:val="basicThinLines"/>
            </w:tcBorders>
          </w:tcPr>
          <w:tcPr>
            <w:vAlign w:val="center"/>
          </w:tcPr>
          <w:p>
            <w:pPr>
              <w:jc w:val="center"/>
            </w:pPr>
            <w:r/>
            <w:r>
              <w:rPr xsi:nil="true"/>
              <w:t>8</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3.4  Effect of HAEAL on body weight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extract was prepared as suspension and given to the rats. The suspension showed stability and aroma with no turbidity at room temperature. The suspension did not show changes in color and odor until day 3, indicating that the preparation was stable for 72 h. The high dose HAEAL was subjected to observe any changes on body weight, and showed increase in body weight compared with positive control group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0.001) from day 14 to day 28, indicating the effectiveness of the suspension in changing baseline parameters of animals employed in the study. The body weight of the animals was observed in consistency to understand the changes occurring in animals. Illustration of the effects of HAEAL on body weight changes from day 1 to day 28 is shown in </w:t>
      </w:r>
      <w:r>
        <w:rPr>
          <w:rFonts w:ascii="Times New Roman" w:hAnsi="宋体" w:hint="eastAsia"/>
          <w:sz w:val="24"/>
          <w:szCs w:val="24"/>
        </w:rPr>
        <w:t>Figure 4</w:t>
      </w:r>
      <w:r>
        <w:rPr>
          <w:rFonts w:ascii="Times New Roman" w:hAnsi="宋体" w:hint="eastAsia"/>
          <w:sz w:val="24"/>
          <w:szCs w:val="24"/>
        </w:rPr>
        <w:t>.</w:t>
      </w:r>
    </w:p>
    <w:p>
      <w:pPr>
        <w:spacing w:before="200" w:after="100"/>
        <w:jc w:val="center"/>
      </w:pPr>
      <w:r>
        <w:drawing>
          <wp:inline distT="0" distR="0" distB="0" distL="0">
            <wp:extent cx="2736342" cy="2484425"/>
            <wp:docPr id="3" name="Drawing 3" descr="Gowri-4.jpg"/>
            <a:graphic xmlns:a="http://schemas.openxmlformats.org/drawingml/2006/main">
              <a:graphicData uri="http://schemas.openxmlformats.org/drawingml/2006/picture">
                <pic:pic xmlns:pic="http://schemas.openxmlformats.org/drawingml/2006/picture">
                  <pic:nvPicPr>
                    <pic:cNvPr id="0" name="Picture 3" descr="Gowri-4.jpg"/>
                    <pic:cNvPicPr>
                      <a:picLocks noChangeAspect="true"/>
                    </pic:cNvPicPr>
                  </pic:nvPicPr>
                  <pic:blipFill>
                    <a:blip r:embed="rId12"/>
                    <a:stretch>
                      <a:fillRect/>
                    </a:stretch>
                  </pic:blipFill>
                  <pic:spPr>
                    <a:xfrm>
                      <a:off x="0" y="0"/>
                      <a:ext cx="2736342" cy="2484425"/>
                    </a:xfrm>
                    <a:prstGeom prst="rect">
                      <a:avLst/>
                    </a:prstGeom>
                  </pic:spPr>
                </pic:pic>
              </a:graphicData>
            </a:graphic>
          </wp:inline>
        </w:drawing>
      </w:r>
    </w:p>
    <w:p>
      <w:pPr>
        <w:spacing w:after="200"/>
        <w:jc w:val="center"/>
      </w:pPr>
      <w:r>
        <w:rPr>
          <w:b w:val="true"/>
        </w:rPr>
        <w:t xml:space="preserve">Fig. 4  </w:t>
      </w:r>
      <w:r>
        <w:rPr>
          <w:b w:val="true"/>
        </w:rPr>
        <w:t>Effects of HAEAL on body weight changes from day 1 to day 28</w:t>
      </w:r>
    </w:p>
    <w:p>
      <w:pPr>
        <w:jc w:val="center"/>
      </w:pPr>
      <w:r>
        <w:t xml:space="preserve">A − E,body weight on days 1, 7, 14, 21, and 28, respectively. </w:t>
      </w:r>
      <w:r>
        <w:rPr xsi:nil="true">
          <w:vertAlign w:val="superscript"/>
        </w:rPr>
        <w:t>*</w:t>
      </w:r>
      <w:r>
        <w:rPr xsi:nil="true">
          <w:i w:val="true"/>
        </w:rPr>
        <w:t xml:space="preserve"> P</w:t>
      </w:r>
      <w:r>
        <w:rPr xsi:nil="true"/>
        <w:t xml:space="preserve"> &lt; 0.05, </w:t>
      </w:r>
      <w:r>
        <w:rPr xsi:nil="true">
          <w:vertAlign w:val="superscript"/>
        </w:rPr>
        <w:t>**</w:t>
      </w:r>
      <w:r>
        <w:rPr xsi:nil="true">
          <w:i w:val="true"/>
        </w:rPr>
        <w:t>P</w:t>
      </w:r>
      <w:r>
        <w:rPr xsi:nil="true"/>
        <w:t xml:space="preserve"> &lt; 0.01, </w:t>
      </w:r>
      <w:r>
        <w:rPr xsi:nil="true">
          <w:vertAlign w:val="superscript"/>
        </w:rPr>
        <w:t>***</w:t>
      </w:r>
      <w:r>
        <w:rPr xsi:nil="true">
          <w:i w:val="true"/>
        </w:rPr>
        <w:t xml:space="preserve"> P</w:t>
      </w:r>
      <w:r>
        <w:rPr xsi:nil="true"/>
        <w:t xml:space="preserve"> &lt; 0.001 represents statistically significant, and ns represents not statistically significant.</w:t>
      </w:r>
    </w:p>
    <w:p>
      <w:pPr>
        <w:spacing w:before="156" w:beforeLines="50" w:line="360" w:lineRule="auto"/>
        <w:jc w:val="left"/>
        <w:rPr>
          <w:rFonts w:ascii="Times New Roman" w:hAnsi="宋体"/>
          <w:sz w:val="24"/>
          <w:szCs w:val="24"/>
        </w:rPr>
      </w:pPr>
      <w:r>
        <w:rPr>
          <w:rFonts w:ascii="Times New Roman" w:hAnsi="宋体" w:hint="eastAsia"/>
          <w:b/>
          <w:sz w:val="26"/>
          <w:szCs w:val="32"/>
        </w:rPr>
        <w:t>3.5  Histopathdogy analysis of kidney tissues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Photomicrographs of kidney tissue sections are shown in </w:t>
      </w:r>
      <w:r>
        <w:rPr>
          <w:rFonts w:ascii="Times New Roman" w:hAnsi="宋体" w:hint="eastAsia"/>
          <w:sz w:val="24"/>
          <w:szCs w:val="24"/>
        </w:rPr>
        <w:t>Figure 5</w:t>
      </w:r>
      <w:r>
        <w:rPr>
          <w:rFonts w:ascii="Times New Roman" w:hAnsi="宋体" w:hint="eastAsia"/>
          <w:sz w:val="24"/>
          <w:szCs w:val="24"/>
        </w:rPr>
        <w:t>. No significant pathological findings were found in the kidney parenchyma of the negative control group. In the positive control group, no evidence of tubule interstitial inflammation/acute tubular injury was noticed on day 28; however, the kidney parenchyma in this group showed signs of chronic interstitial inflammatory infiltration. Mild chronic interstitial inflammation was observed in the standard and HAEAL treatment groups, with no evidence of acute tubular injury. The low dose HAEAL group showed slight evidence of interstitial inflammation with lymphocytic infiltration. In contrast, the kidney parenchyma of the high dose HAEAL group showed no significant pathological findings, indicating that 800 mg/kg HAEAL ameliorated kidney injury, controlling or preventing the disease.</w:t>
      </w:r>
    </w:p>
    <w:p>
      <w:pPr>
        <w:spacing w:before="200" w:after="100"/>
        <w:jc w:val="center"/>
      </w:pPr>
      <w:r>
        <w:drawing>
          <wp:inline distT="0" distR="0" distB="0" distL="0">
            <wp:extent cx="2736342" cy="1337767"/>
            <wp:docPr id="4" name="Drawing 4" descr="Gowri-5.jpg"/>
            <a:graphic xmlns:a="http://schemas.openxmlformats.org/drawingml/2006/main">
              <a:graphicData uri="http://schemas.openxmlformats.org/drawingml/2006/picture">
                <pic:pic xmlns:pic="http://schemas.openxmlformats.org/drawingml/2006/picture">
                  <pic:nvPicPr>
                    <pic:cNvPr id="0" name="Picture 4" descr="Gowri-5.jpg"/>
                    <pic:cNvPicPr>
                      <a:picLocks noChangeAspect="true"/>
                    </pic:cNvPicPr>
                  </pic:nvPicPr>
                  <pic:blipFill>
                    <a:blip r:embed="rId13"/>
                    <a:stretch>
                      <a:fillRect/>
                    </a:stretch>
                  </pic:blipFill>
                  <pic:spPr>
                    <a:xfrm>
                      <a:off x="0" y="0"/>
                      <a:ext cx="2736342" cy="1337767"/>
                    </a:xfrm>
                    <a:prstGeom prst="rect">
                      <a:avLst/>
                    </a:prstGeom>
                  </pic:spPr>
                </pic:pic>
              </a:graphicData>
            </a:graphic>
          </wp:inline>
        </w:drawing>
      </w:r>
    </w:p>
    <w:p>
      <w:pPr>
        <w:spacing w:after="200"/>
        <w:jc w:val="center"/>
      </w:pPr>
      <w:r>
        <w:rPr>
          <w:b w:val="true"/>
        </w:rPr>
        <w:t xml:space="preserve">Fig. 5  </w:t>
      </w:r>
      <w:r>
        <w:rPr>
          <w:b w:val="true"/>
        </w:rPr>
        <w:t>Photomicrographs of kidney tissue sections from the experimental rats</w:t>
      </w:r>
    </w:p>
    <w:p>
      <w:pPr>
        <w:jc w:val="center"/>
      </w:pPr>
      <w:r>
        <w:t>A, group 1 (negative control group). B, group 2 (positive control group). C, group 3 (standard group). D, group 4 (low dose HAEAL group). E, group 5 (high dose HAEAL group).</w:t>
      </w:r>
    </w:p>
    <w:p>
      <w:pPr>
        <w:spacing w:before="156" w:beforeLines="50" w:line="360" w:lineRule="auto"/>
        <w:jc w:val="left"/>
        <w:rPr>
          <w:rFonts w:ascii="Times New Roman" w:hAnsi="宋体"/>
          <w:sz w:val="24"/>
          <w:szCs w:val="24"/>
        </w:rPr>
      </w:pPr>
      <w:r>
        <w:rPr>
          <w:rFonts w:ascii="Times New Roman" w:hAnsi="宋体" w:hint="eastAsia"/>
          <w:b/>
          <w:sz w:val="32"/>
          <w:szCs w:val="32"/>
        </w:rPr>
        <w:t>4  Discussion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the current study, we investigated the antiurolithiatic activity of HAEAL both </w:t>
      </w:r>
      <w:r>
        <w:rPr>
          <w:rFonts w:ascii="Times New Roman" w:hAnsi="宋体" w:hint="eastAsia"/>
          <w:i w:val="true"/>
          <w:sz w:val="24"/>
          <w:szCs w:val="24"/>
        </w:rPr>
        <w:t>in vitro</w:t>
      </w:r>
      <w:r>
        <w:rPr>
          <w:rFonts w:ascii="Times New Roman" w:hAnsi="宋体" w:hint="eastAsia"/>
          <w:sz w:val="24"/>
          <w:szCs w:val="24"/>
        </w:rPr>
        <w:t xml:space="preserve"> and </w:t>
      </w:r>
      <w:r>
        <w:rPr>
          <w:rFonts w:ascii="Times New Roman" w:hAnsi="宋体" w:hint="eastAsia"/>
          <w:i w:val="true"/>
          <w:sz w:val="24"/>
          <w:szCs w:val="24"/>
        </w:rPr>
        <w:t>in vivo</w:t>
      </w:r>
      <w:r>
        <w:rPr>
          <w:rFonts w:ascii="Times New Roman" w:hAnsi="宋体" w:hint="eastAsia"/>
          <w:sz w:val="24"/>
          <w:szCs w:val="24"/>
        </w:rPr>
        <w:t xml:space="preserve">, and compared it with the activity of a standard treatment (Cystone). The animals were treated with HAEAL to dissolve the stones induced by the administration of ethylene glycol. Treatment with HAEAL reduced the production and size of kidney stones. This effect was likely the result of the action of various phytochemical constituents, such as flavonoids, phenols, terpenoids, glycosides, and tannins. Stone formation is a multifactorial process with various stages, including nucleation, crystal growth, and crystal aggregation </w:t>
      </w:r>
      <w:r>
        <w:rPr>
          <w:rFonts w:ascii="Times New Roman" w:hAnsi="宋体" w:hint="eastAsia"/>
          <w:sz w:val="24"/>
          <w:szCs w:val="24"/>
          <w:vertAlign w:val="superscript"/>
        </w:rPr>
        <w:t>[</w:t>
      </w:r>
      <w:r>
        <w:rPr>
          <w:rFonts w:ascii="Times New Roman" w:hAnsi="宋体" w:hint="eastAsia"/>
          <w:sz w:val="24"/>
          <w:szCs w:val="24"/>
          <w:vertAlign w:val="superscript"/>
        </w:rPr>
        <w:t>39</w:t>
      </w:r>
      <w:r>
        <w:rPr>
          <w:rFonts w:ascii="Times New Roman" w:hAnsi="宋体" w:hint="eastAsia"/>
          <w:sz w:val="24"/>
          <w:szCs w:val="24"/>
          <w:vertAlign w:val="superscript"/>
        </w:rPr>
        <w:t>]</w:t>
      </w:r>
      <w:r>
        <w:rPr>
          <w:rFonts w:ascii="Times New Roman" w:hAnsi="宋体" w:hint="eastAsia"/>
          <w:sz w:val="24"/>
          <w:szCs w:val="24"/>
          <w:vertAlign w:val="subscript"/>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 report has revealed the urinary and serum parameters that play a role in the prevention of kidney stone development </w:t>
      </w:r>
      <w:r>
        <w:rPr>
          <w:rFonts w:ascii="Times New Roman" w:hAnsi="宋体" w:hint="eastAsia"/>
          <w:sz w:val="24"/>
          <w:szCs w:val="24"/>
          <w:vertAlign w:val="superscript"/>
        </w:rPr>
        <w:t>[</w:t>
      </w:r>
      <w:r>
        <w:rPr>
          <w:rFonts w:ascii="Times New Roman" w:hAnsi="宋体" w:hint="eastAsia"/>
          <w:sz w:val="24"/>
          <w:szCs w:val="24"/>
          <w:vertAlign w:val="superscript"/>
        </w:rPr>
        <w:t>49</w:t>
      </w:r>
      <w:r>
        <w:rPr>
          <w:rFonts w:ascii="Times New Roman" w:hAnsi="宋体" w:hint="eastAsia"/>
          <w:sz w:val="24"/>
          <w:szCs w:val="24"/>
          <w:vertAlign w:val="superscript"/>
        </w:rPr>
        <w:t>]</w:t>
      </w:r>
      <w:r>
        <w:rPr>
          <w:rFonts w:ascii="Times New Roman" w:hAnsi="宋体" w:hint="eastAsia"/>
          <w:sz w:val="24"/>
          <w:szCs w:val="24"/>
        </w:rPr>
        <w:t xml:space="preserve">. The key factor in preventing stone formation is alkalization of the urine and reduction of ion formation of various salts </w:t>
      </w:r>
      <w:r>
        <w:rPr>
          <w:rFonts w:ascii="Times New Roman" w:hAnsi="宋体" w:hint="eastAsia"/>
          <w:sz w:val="24"/>
          <w:szCs w:val="24"/>
          <w:vertAlign w:val="superscript"/>
        </w:rPr>
        <w:t>[</w:t>
      </w:r>
      <w:r>
        <w:rPr>
          <w:rFonts w:ascii="Times New Roman" w:hAnsi="宋体" w:hint="eastAsia"/>
          <w:sz w:val="24"/>
          <w:szCs w:val="24"/>
          <w:vertAlign w:val="superscript"/>
        </w:rPr>
        <w:t>21</w:t>
      </w:r>
      <w:r>
        <w:rPr>
          <w:rFonts w:ascii="Times New Roman" w:hAnsi="宋体" w:hint="eastAsia"/>
          <w:sz w:val="24"/>
          <w:szCs w:val="24"/>
          <w:vertAlign w:val="superscript"/>
        </w:rPr>
        <w:t>]</w:t>
      </w:r>
      <w:r>
        <w:rPr>
          <w:rFonts w:ascii="Times New Roman" w:hAnsi="宋体" w:hint="eastAsia"/>
          <w:sz w:val="24"/>
          <w:szCs w:val="24"/>
        </w:rPr>
        <w:t>. HAEAL at 800 mg/kg showed significant changes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0.001) when compared with standard treated rats, and dose of 400 mg/kg was found to show better activity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0.001) when compared with positive treated rats.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i w:val="true"/>
          <w:sz w:val="24"/>
          <w:szCs w:val="24"/>
        </w:rPr>
        <w:t>In vitro</w:t>
      </w:r>
      <w:r>
        <w:rPr>
          <w:rFonts w:ascii="Times New Roman" w:hAnsi="宋体" w:hint="eastAsia"/>
          <w:sz w:val="24"/>
          <w:szCs w:val="24"/>
        </w:rPr>
        <w:t xml:space="preserve"> studies, nucleation, aggregation, and growth assays were performed to measure absorbance and the rate of stone inhibition. In the nucleation assay, the rate of absorbance was increased when 100 µg/mL HAEAL was used, which indicated lower turbidity of the solution and higher nucleation inhibition required to prevent stone formation </w:t>
      </w:r>
      <w:r>
        <w:rPr>
          <w:rFonts w:ascii="Times New Roman" w:hAnsi="宋体" w:hint="eastAsia"/>
          <w:sz w:val="24"/>
          <w:szCs w:val="24"/>
          <w:vertAlign w:val="superscript"/>
        </w:rPr>
        <w:t>[</w:t>
      </w:r>
      <w:r>
        <w:rPr>
          <w:rFonts w:ascii="Times New Roman" w:hAnsi="宋体" w:hint="eastAsia"/>
          <w:sz w:val="24"/>
          <w:szCs w:val="24"/>
          <w:vertAlign w:val="superscript"/>
        </w:rPr>
        <w:t>40</w:t>
      </w:r>
      <w:r>
        <w:rPr>
          <w:rFonts w:ascii="Times New Roman" w:hAnsi="宋体" w:hint="eastAsia"/>
          <w:sz w:val="24"/>
          <w:szCs w:val="24"/>
          <w:vertAlign w:val="superscript"/>
        </w:rPr>
        <w:t>]</w:t>
      </w:r>
      <w:r>
        <w:rPr>
          <w:rFonts w:ascii="Times New Roman" w:hAnsi="宋体" w:hint="eastAsia"/>
          <w:sz w:val="24"/>
          <w:szCs w:val="24"/>
        </w:rPr>
        <w:t xml:space="preserve">. Similarly, the inhibition in aggregation and growth assays was more pronounced at the 100 µg/mL concentration, indicating a less turbid solution. </w:t>
      </w:r>
      <w:r>
        <w:rPr>
          <w:rFonts w:ascii="Times New Roman" w:hAnsi="宋体" w:hint="eastAsia"/>
          <w:i w:val="true"/>
          <w:sz w:val="24"/>
          <w:szCs w:val="24"/>
        </w:rPr>
        <w:t>In vivo</w:t>
      </w:r>
      <w:r>
        <w:rPr>
          <w:rFonts w:ascii="Times New Roman" w:hAnsi="宋体" w:hint="eastAsia"/>
          <w:sz w:val="24"/>
          <w:szCs w:val="24"/>
        </w:rPr>
        <w:t xml:space="preserve"> studies related to citrate, oxalate, calcium, uric acid, phosphate, and creatinine levels enhances their excretion rate and improves the clearance rate </w:t>
      </w:r>
      <w:r>
        <w:rPr>
          <w:rFonts w:ascii="Times New Roman" w:hAnsi="宋体" w:hint="eastAsia"/>
          <w:sz w:val="24"/>
          <w:szCs w:val="24"/>
          <w:vertAlign w:val="superscript"/>
        </w:rPr>
        <w:t>[</w:t>
      </w:r>
      <w:r>
        <w:rPr>
          <w:rFonts w:ascii="Times New Roman" w:hAnsi="宋体" w:hint="eastAsia"/>
          <w:sz w:val="24"/>
          <w:szCs w:val="24"/>
          <w:vertAlign w:val="superscript"/>
        </w:rPr>
        <w:t>33</w:t>
      </w:r>
      <w:r>
        <w:rPr>
          <w:rFonts w:ascii="Times New Roman" w:hAnsi="宋体" w:hint="eastAsia"/>
          <w:sz w:val="24"/>
          <w:szCs w:val="24"/>
          <w:vertAlign w:val="superscript"/>
        </w:rPr>
        <w:t xml:space="preserve">, </w:t>
      </w:r>
      <w:r>
        <w:rPr>
          <w:rFonts w:ascii="Times New Roman" w:hAnsi="宋体" w:hint="eastAsia"/>
          <w:sz w:val="24"/>
          <w:szCs w:val="24"/>
          <w:vertAlign w:val="superscript"/>
        </w:rPr>
        <w:t>50</w:t>
      </w:r>
      <w:r>
        <w:rPr>
          <w:rFonts w:ascii="Times New Roman" w:hAnsi="宋体" w:hint="eastAsia"/>
          <w:sz w:val="24"/>
          <w:szCs w:val="24"/>
          <w:vertAlign w:val="superscript"/>
        </w:rPr>
        <w:t>]</w:t>
      </w:r>
      <w:r>
        <w:rPr>
          <w:rFonts w:ascii="Times New Roman" w:hAnsi="宋体" w:hint="eastAsia"/>
          <w:sz w:val="24"/>
          <w:szCs w:val="24"/>
        </w:rPr>
        <w:t xml:space="preserve">. The urine volume was lower in the positive control group, indicating a reduction in the glomerular filtration rate. An increase in urine output dilutes urine concentration and prevents precipitation. Ethylene glycol administration leads to hyperoxaluria, and high calcium concentration leads to reduced urine inhibitor activity. According to the previous study established, the high extract dose significantly reduces the calcium concentration and the oxalate concentration was increased with the administration of ethylene glycol, resulting in the formation of calcium oxalate precipitates </w:t>
      </w:r>
      <w:r>
        <w:rPr>
          <w:rFonts w:ascii="Times New Roman" w:hAnsi="宋体" w:hint="eastAsia"/>
          <w:sz w:val="24"/>
          <w:szCs w:val="24"/>
          <w:vertAlign w:val="superscript"/>
        </w:rPr>
        <w:t>[</w:t>
      </w:r>
      <w:r>
        <w:rPr>
          <w:rFonts w:ascii="Times New Roman" w:hAnsi="宋体" w:hint="eastAsia"/>
          <w:sz w:val="24"/>
          <w:szCs w:val="24"/>
          <w:vertAlign w:val="superscript"/>
        </w:rPr>
        <w:t>33</w:t>
      </w:r>
      <w:r>
        <w:rPr>
          <w:rFonts w:ascii="Times New Roman" w:hAnsi="宋体" w:hint="eastAsia"/>
          <w:sz w:val="24"/>
          <w:szCs w:val="24"/>
          <w:vertAlign w:val="superscript"/>
        </w:rPr>
        <w:t>]</w:t>
      </w:r>
      <w:r>
        <w:rPr>
          <w:rFonts w:ascii="Times New Roman" w:hAnsi="宋体" w:hint="eastAsia"/>
          <w:sz w:val="24"/>
          <w:szCs w:val="24"/>
          <w:vertAlign w:val="subscript"/>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Oxalate levels were much more decreased by the high dose than the low dose of the extract, indicating a therapeutic dose. The lithiasis-induced groups had increased phosphate concentrations in the urine, providing a favorable environment for the formation of calcium phosphate and calcium oxalate. Treatment with high dose HAEAL decreased the phosphate levels, but to a lower extent than treatment with the standard drug, Cystone </w:t>
      </w:r>
      <w:r>
        <w:rPr>
          <w:rFonts w:ascii="Times New Roman" w:hAnsi="宋体" w:hint="eastAsia"/>
          <w:sz w:val="24"/>
          <w:szCs w:val="24"/>
          <w:vertAlign w:val="superscript"/>
        </w:rPr>
        <w:t>[</w:t>
      </w:r>
      <w:r>
        <w:rPr>
          <w:rFonts w:ascii="Times New Roman" w:hAnsi="宋体" w:hint="eastAsia"/>
          <w:sz w:val="24"/>
          <w:szCs w:val="24"/>
          <w:vertAlign w:val="superscript"/>
        </w:rPr>
        <w:t>33</w:t>
      </w:r>
      <w:r>
        <w:rPr>
          <w:rFonts w:ascii="Times New Roman" w:hAnsi="宋体" w:hint="eastAsia"/>
          <w:sz w:val="24"/>
          <w:szCs w:val="24"/>
          <w:vertAlign w:val="superscript"/>
        </w:rPr>
        <w:t>]</w:t>
      </w:r>
      <w:r>
        <w:rPr>
          <w:rFonts w:ascii="Times New Roman" w:hAnsi="宋体" w:hint="eastAsia"/>
          <w:sz w:val="24"/>
          <w:szCs w:val="24"/>
        </w:rPr>
        <w:t xml:space="preserve">. Uric acid and creatinine levels were reduced by treatment with high dose HAEAL, but not to the levels after treatment with the standard drug </w:t>
      </w:r>
      <w:r>
        <w:rPr>
          <w:rFonts w:ascii="Times New Roman" w:hAnsi="宋体" w:hint="eastAsia"/>
          <w:sz w:val="24"/>
          <w:szCs w:val="24"/>
          <w:vertAlign w:val="superscript"/>
        </w:rPr>
        <w:t>[</w:t>
      </w:r>
      <w:r>
        <w:rPr>
          <w:rFonts w:ascii="Times New Roman" w:hAnsi="宋体" w:hint="eastAsia"/>
          <w:sz w:val="24"/>
          <w:szCs w:val="24"/>
          <w:vertAlign w:val="superscript"/>
        </w:rPr>
        <w:t>45</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Additionally, </w:t>
      </w:r>
      <w:r>
        <w:rPr>
          <w:rFonts w:ascii="Times New Roman" w:hAnsi="宋体" w:hint="eastAsia"/>
          <w:i w:val="true"/>
          <w:sz w:val="24"/>
          <w:szCs w:val="24"/>
        </w:rPr>
        <w:t>Aerva lanata</w:t>
      </w:r>
      <w:r>
        <w:rPr>
          <w:rFonts w:ascii="Times New Roman" w:hAnsi="宋体" w:hint="eastAsia"/>
          <w:sz w:val="24"/>
          <w:szCs w:val="24"/>
        </w:rPr>
        <w:t xml:space="preserve"> (L.) has significant antioxidant properties that prevent the oxidative stress causing tubular cell injury. Thus, pharmacological preparations of </w:t>
      </w:r>
      <w:r>
        <w:rPr>
          <w:rFonts w:ascii="Times New Roman" w:hAnsi="宋体" w:hint="eastAsia"/>
          <w:i w:val="true"/>
          <w:sz w:val="24"/>
          <w:szCs w:val="24"/>
        </w:rPr>
        <w:t>Aerua. lanata</w:t>
      </w:r>
      <w:r>
        <w:rPr>
          <w:rFonts w:ascii="Times New Roman" w:hAnsi="宋体" w:hint="eastAsia"/>
          <w:sz w:val="24"/>
          <w:szCs w:val="24"/>
        </w:rPr>
        <w:t xml:space="preserve"> (L.) may be beneficial for treating nephrolithiasis and other disorders related to oxidation because of their antioxidative effects. The body weight in the induced group decreased progressively when compared with that in other groups, indicating that the disease was induced and was accompanied by changes in urine parameters. Changes in behavioral patterns in the ethylene glycol induced group, where rats became less active and drank more water, was considered as a protective mechanism that improved the excretion rate which was seen in urine volume changes </w:t>
      </w:r>
      <w:r>
        <w:rPr>
          <w:rFonts w:ascii="Times New Roman" w:hAnsi="宋体" w:hint="eastAsia"/>
          <w:sz w:val="24"/>
          <w:szCs w:val="24"/>
          <w:vertAlign w:val="superscript"/>
        </w:rPr>
        <w:t>[</w:t>
      </w:r>
      <w:r>
        <w:rPr>
          <w:rFonts w:ascii="Times New Roman" w:hAnsi="宋体" w:hint="eastAsia"/>
          <w:sz w:val="24"/>
          <w:szCs w:val="24"/>
          <w:vertAlign w:val="superscript"/>
        </w:rPr>
        <w:t>46</w:t>
      </w:r>
      <w:r>
        <w:rPr>
          <w:rFonts w:ascii="Times New Roman" w:hAnsi="宋体" w:hint="eastAsia"/>
          <w:sz w:val="24"/>
          <w:szCs w:val="24"/>
          <w:vertAlign w:val="superscript"/>
        </w:rPr>
        <w:t>]</w:t>
      </w:r>
      <w:r>
        <w:rPr>
          <w:rFonts w:ascii="Times New Roman" w:hAnsi="宋体" w:hint="eastAsia"/>
          <w:sz w:val="24"/>
          <w:szCs w:val="24"/>
        </w:rPr>
        <w:t>. Urine volumes from day 1 to day 28 were measured and found to be higher in both the HAEAL treatment groups (</w:t>
      </w:r>
      <w:r>
        <w:rPr>
          <w:rFonts w:ascii="Times New Roman" w:hAnsi="宋体" w:hint="eastAsia"/>
          <w:i w:val="true"/>
          <w:sz w:val="24"/>
          <w:szCs w:val="24"/>
        </w:rPr>
        <w:t>P</w:t>
      </w:r>
      <w:r>
        <w:rPr>
          <w:rFonts w:ascii="Times New Roman" w:hAnsi="宋体" w:hint="eastAsia"/>
          <w:sz w:val="24"/>
          <w:szCs w:val="24"/>
        </w:rPr>
        <w:t xml:space="preserve"> </w:t>
      </w:r>
      <w:r>
        <w:rPr>
          <w:rFonts w:ascii="Times New Roman" w:hAnsi="宋体" w:hint="eastAsia"/>
          <w:sz w:val="24"/>
          <w:szCs w:val="24"/>
        </w:rPr>
        <w:t>&lt;</w:t>
      </w:r>
      <w:r>
        <w:rPr>
          <w:rFonts w:ascii="Times New Roman" w:hAnsi="宋体" w:hint="eastAsia"/>
          <w:sz w:val="24"/>
          <w:szCs w:val="24"/>
        </w:rPr>
        <w:t xml:space="preserve"> 0.01) when compared with positive control groups. These findings indicate that high urine output dilutes the urine concentration, and demonstrates the diuretic activity of the plant extract, which reduces the acidic nature of the urine by enhancing the concentration of inhibitors, thus reducing the chances of stone formation </w:t>
      </w:r>
      <w:r>
        <w:rPr>
          <w:rFonts w:ascii="Times New Roman" w:hAnsi="宋体" w:hint="eastAsia"/>
          <w:sz w:val="24"/>
          <w:szCs w:val="24"/>
          <w:vertAlign w:val="superscript"/>
        </w:rPr>
        <w:t>[</w:t>
      </w:r>
      <w:r>
        <w:rPr>
          <w:rFonts w:ascii="Times New Roman" w:hAnsi="宋体" w:hint="eastAsia"/>
          <w:sz w:val="24"/>
          <w:szCs w:val="24"/>
          <w:vertAlign w:val="superscript"/>
        </w:rPr>
        <w:t>51</w:t>
      </w:r>
      <w:r>
        <w:rPr>
          <w:rFonts w:ascii="Times New Roman" w:hAnsi="宋体" w:hint="eastAsia"/>
          <w:sz w:val="24"/>
          <w:szCs w:val="24"/>
          <w:vertAlign w:val="superscript"/>
        </w:rPr>
        <w:t>]</w:t>
      </w:r>
      <w:r>
        <w:rPr>
          <w:rFonts w:ascii="Times New Roman" w:hAnsi="宋体" w:hint="eastAsia"/>
          <w:sz w:val="24"/>
          <w:szCs w:val="24"/>
        </w:rPr>
        <w:t>. Changes in urine volume were observed after induction, and a foul smell of the urine indicated that certain microbial infections may also be responsible for stone formation by changing the concentration of urine. Microbial growth can be averted by providing antimicrobial drugs along with the plant extract.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Histopathological examination revealed no significant findings in the negative control group, whereas the positive control group showed inflammation in the tubular area </w:t>
      </w:r>
      <w:r>
        <w:rPr>
          <w:rFonts w:ascii="Times New Roman" w:hAnsi="宋体" w:hint="eastAsia"/>
          <w:sz w:val="24"/>
          <w:szCs w:val="24"/>
          <w:vertAlign w:val="superscript"/>
        </w:rPr>
        <w:t>[</w:t>
      </w:r>
      <w:r>
        <w:rPr>
          <w:rFonts w:ascii="Times New Roman" w:hAnsi="宋体" w:hint="eastAsia"/>
          <w:sz w:val="24"/>
          <w:szCs w:val="24"/>
          <w:vertAlign w:val="superscript"/>
        </w:rPr>
        <w:t>47</w:t>
      </w:r>
      <w:r>
        <w:rPr>
          <w:rFonts w:ascii="Times New Roman" w:hAnsi="宋体" w:hint="eastAsia"/>
          <w:sz w:val="24"/>
          <w:szCs w:val="24"/>
          <w:vertAlign w:val="superscript"/>
        </w:rPr>
        <w:t>]</w:t>
      </w:r>
      <w:r>
        <w:rPr>
          <w:rFonts w:ascii="Times New Roman" w:hAnsi="宋体" w:hint="eastAsia"/>
          <w:sz w:val="24"/>
          <w:szCs w:val="24"/>
        </w:rPr>
        <w:t xml:space="preserve">. In the standard and HAEAL treatment groups, there were relevant changes in interstitial inflammatory cells with reduction in interstitial inflammation with lymphocytic infiltration, and a reduction in crystal accumulation was apparent. Urine pH value plays a significant role in kidney stone formation; acidic urine favors crystal retention through adhesion, resulting in stone formation in the distal part of the kidney </w:t>
      </w:r>
      <w:r>
        <w:rPr>
          <w:rFonts w:ascii="Times New Roman" w:hAnsi="宋体" w:hint="eastAsia"/>
          <w:sz w:val="24"/>
          <w:szCs w:val="24"/>
          <w:vertAlign w:val="superscript"/>
        </w:rPr>
        <w:t>[</w:t>
      </w:r>
      <w:r>
        <w:rPr>
          <w:rFonts w:ascii="Times New Roman" w:hAnsi="宋体" w:hint="eastAsia"/>
          <w:sz w:val="24"/>
          <w:szCs w:val="24"/>
          <w:vertAlign w:val="superscript"/>
        </w:rPr>
        <w:t>46</w:t>
      </w:r>
      <w:r>
        <w:rPr>
          <w:rFonts w:ascii="Times New Roman" w:hAnsi="宋体" w:hint="eastAsia"/>
          <w:sz w:val="24"/>
          <w:szCs w:val="24"/>
          <w:vertAlign w:val="superscript"/>
        </w:rPr>
        <w:t>]</w:t>
      </w:r>
      <w:r>
        <w:rPr>
          <w:rFonts w:ascii="Times New Roman" w:hAnsi="宋体" w:hint="eastAsia"/>
          <w:sz w:val="24"/>
          <w:szCs w:val="24"/>
        </w:rPr>
        <w:t>. The pH value of the urine from the positive control group was in the range of 4 to 6, indicating chances of kidney stone formation due to the acidic nature of the urine. In contrast, the treatment groups had a pH ≥ 6, suggesting that treatment with the extract is efficient at treating kidney stone formation.</w:t>
      </w:r>
    </w:p>
    <w:p>
      <w:pPr>
        <w:spacing w:before="156" w:beforeLines="50" w:line="360" w:lineRule="auto"/>
        <w:jc w:val="left"/>
        <w:rPr>
          <w:rFonts w:ascii="Times New Roman" w:hAnsi="宋体"/>
          <w:sz w:val="24"/>
          <w:szCs w:val="24"/>
        </w:rPr>
      </w:pPr>
      <w:r>
        <w:rPr>
          <w:rFonts w:ascii="Times New Roman" w:hAnsi="宋体" w:hint="eastAsia"/>
          <w:b/>
          <w:sz w:val="32"/>
          <w:szCs w:val="32"/>
        </w:rPr>
        <w:t>5  Conclusion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Urine output decreased in the positive control group. Both standard and HAEAL treatments significantly increased the urine volume, indicating the diuretic activity of HAEAL. The data revealed that the excretion levels of oxalate, phosphorous, and calcium were increased in the positive control group, whereas the high HAEAL treatment group showed lower excretion rates. Furthermore, creatinine clearance was restored to normal levels in the standard and HAEAL treatment groups. Thus, HAEAL significantly reduced kidney stone formation. Our findings suggest that HAEAL has beneficial diuretic activity, which can be used to promote the passage of stones. Further studies are needed to enhance the stability of the suspension for the production of better formulations.</w:t>
      </w:r>
    </w:p>
    <w:p w14:paraId="5A44182D" w14:textId="1B58BCED" w:rsidP="00B87651" w:rsidR="008343A3" w:rsidRDefault="00B87651" w:rsidRPr="00BE7F81">
      <w:pPr>
        <w:pStyle w:val="2"/>
        <w:rPr>
          <w:rFonts w:ascii="Times New Roman" w:cs="Times New Roman" w:hAnsi="Times New Roman"/>
        </w:rPr>
      </w:pPr>
      <w:r w:rsidRPr="00BE7F81">
        <w:rPr>
          <w:rFonts w:ascii="Times New Roman" w:cs="Times New Roman" w:hAnsi="Times New Roman"/>
        </w:rPr>
        <w:t>Competing Interests</w:t>
      </w:r>
    </w:p>
    <w:p w14:paraId="223CC42A" w14:textId="34B67D1E" w:rsidP="005C371A" w:rsidR="00B87651" w:rsidRDefault="00B87651">
      <w:pPr>
        <w:autoSpaceDE w:val="0"/>
        <w:autoSpaceDN w:val="0"/>
        <w:adjustRightInd w:val="0"/>
        <w:spacing w:line="360" w:lineRule="auto"/>
        <w:jc w:val="left"/>
        <w:rPr>
          <w:rFonts w:ascii="Times New Roman" w:hAnsi="Times New Roman"/>
          <w:sz w:val="24"/>
          <w:szCs w:val="24"/>
        </w:rPr>
      </w:pPr>
      <w:r w:rsidRPr="00B87651">
        <w:rPr>
          <w:rFonts w:ascii="Times New Roman" w:hAnsi="Times New Roman"/>
          <w:sz w:val="24"/>
          <w:szCs w:val="24"/>
        </w:rPr>
        <w:t>The authors declare no conflict of interest.</w:t>
      </w:r>
    </w:p>
    <w:p w14:paraId="57EAC110" w14:textId="77777777" w:rsidP="005C371A" w:rsidR="00B87651" w:rsidRDefault="00B87651" w:rsidRPr="008343A3">
      <w:pPr>
        <w:autoSpaceDE w:val="0"/>
        <w:autoSpaceDN w:val="0"/>
        <w:adjustRightInd w:val="0"/>
        <w:spacing w:line="360" w:lineRule="auto"/>
        <w:jc w:val="left"/>
        <w:rPr>
          <w:rFonts w:ascii="Times New Roman" w:hAnsi="Times New Roman"/>
          <w:sz w:val="24"/>
          <w:szCs w:val="24"/>
        </w:rPr>
      </w:pPr>
    </w:p>
    <w:p w14:paraId="12AEBC9D" w14:textId="4B06E59A" w:rsidP="00B5060F" w:rsidR="00B5060F" w:rsidRDefault="00B5060F" w:rsidRPr="00B5060F">
      <w:pPr>
        <w:spacing w:line="360" w:lineRule="auto"/>
        <w:rPr>
          <w:rFonts w:ascii="Times New Roman" w:hAnsi="Times New Roman"/>
          <w:sz w:val="30"/>
          <w:szCs w:val="30"/>
        </w:rPr>
      </w:pPr>
      <w:r w:rsidRPr="00B5060F">
        <w:rPr>
          <w:rFonts w:ascii="Times New Roman" w:hAnsi="宋体" w:hint="eastAsia"/>
          <w:b/>
          <w:sz w:val="30"/>
          <w:szCs w:val="30"/>
        </w:rPr>
        <w:t>References</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KASOTE DM, JAGTAP SD, THAPA D, et al.  Herbal remedies for urinary stones used in India and China: a review. Journal of Ethnopharmacology,  2017, 203: 55–68.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TEICHMAN JMH.  Acute renal colic from ureteral calculus. New England Journal of Medicine,  2004, 350(7): 684–693.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FONTENELLE LF, SARTI TD.  Kidney stones: treatment and prevention. American Family Physician,  2019, 99(8): 490–496.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KOK DJ, PAPAPOULOS SE, BIJVOET OLM.  Crystal agglomeration is a major element in calcium oxalate urinary stone formation. Kidney International,  1990, 37(1): 51–56.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KHAN SR, PEARLE MS, ROBERTSON WG, et al.  Kidney stones. Nature Reviews Disease Primers,  2016, 2(1): 1–23.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KHAN H, MUBARAK MS, AMIN S.  Antifungal potential of alkaloids as an emerging therapeutic target. Current Drug Targets,  2017, 18(16): 1825–1835.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GOYAL M, PAREEK A, NAGORI BP, et al. </w:t>
      </w:r>
      <w:r>
        <w:rPr>
          <w:rFonts w:ascii="Times New Roman" w:hAnsi="Times New Roman"/>
          <w:i w:val="true"/>
          <w:color w:val="000000"/>
          <w:sz w:val="24"/>
          <w:szCs w:val="24"/>
        </w:rPr>
        <w:t>Aerva lanata</w:t>
      </w:r>
      <w:r>
        <w:rPr>
          <w:rFonts w:ascii="Times New Roman" w:hAnsi="Times New Roman"/>
          <w:color w:val="000000"/>
          <w:sz w:val="24"/>
          <w:szCs w:val="24"/>
        </w:rPr>
        <w:t xml:space="preserve">: a review on phytochemistry and pharmacological aspects. Pharmacognosy Reviews,  2011, 5(10): 195–198.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CHOWDHURY D, SAYEED A, ISLAM A, et al.  Antimicrobial activity and cytotoxicity of </w:t>
      </w:r>
      <w:r>
        <w:rPr>
          <w:rFonts w:ascii="Times New Roman" w:hAnsi="Times New Roman"/>
          <w:i w:val="true"/>
          <w:color w:val="000000"/>
          <w:sz w:val="24"/>
          <w:szCs w:val="24"/>
        </w:rPr>
        <w:t>Aerva lanata</w:t>
      </w:r>
      <w:r>
        <w:rPr>
          <w:rFonts w:ascii="Times New Roman" w:hAnsi="Times New Roman"/>
          <w:color w:val="000000"/>
          <w:sz w:val="24"/>
          <w:szCs w:val="24"/>
        </w:rPr>
        <w:t xml:space="preserve">. Fitoterapia,  2002, 73(1): 92–94.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SWAIN SR, SINHA BN, MURTHY PN.  Antiinflammatory, diuretic and antimicrobial activities of </w:t>
      </w:r>
      <w:r>
        <w:rPr>
          <w:rFonts w:ascii="Times New Roman" w:hAnsi="Times New Roman"/>
          <w:i w:val="true"/>
          <w:color w:val="000000"/>
          <w:sz w:val="24"/>
          <w:szCs w:val="24"/>
        </w:rPr>
        <w:t>Rungia pectinata</w:t>
      </w:r>
      <w:r>
        <w:rPr>
          <w:rFonts w:ascii="Times New Roman" w:hAnsi="Times New Roman"/>
          <w:color w:val="000000"/>
          <w:sz w:val="24"/>
          <w:szCs w:val="24"/>
        </w:rPr>
        <w:t xml:space="preserve"> Linn and </w:t>
      </w:r>
      <w:r>
        <w:rPr>
          <w:rFonts w:ascii="Times New Roman" w:hAnsi="Times New Roman"/>
          <w:i w:val="true"/>
          <w:color w:val="000000"/>
          <w:sz w:val="24"/>
          <w:szCs w:val="24"/>
        </w:rPr>
        <w:t>Rungia repens</w:t>
      </w:r>
      <w:r>
        <w:rPr>
          <w:rFonts w:ascii="Times New Roman" w:hAnsi="Times New Roman"/>
          <w:color w:val="000000"/>
          <w:sz w:val="24"/>
          <w:szCs w:val="24"/>
        </w:rPr>
        <w:t xml:space="preserve"> Nees. Indian Journal of Pharmaceutical Sciences,  2008, 70(5): 679–683.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SOUNDARARAJAN P, MAHESH T, RAMESH VH.  Begum, effect of </w:t>
      </w:r>
      <w:r>
        <w:rPr>
          <w:rFonts w:ascii="Times New Roman" w:hAnsi="Times New Roman"/>
          <w:i w:val="true"/>
          <w:color w:val="000000"/>
          <w:sz w:val="24"/>
          <w:szCs w:val="24"/>
        </w:rPr>
        <w:t>Aerva lanata</w:t>
      </w:r>
      <w:r>
        <w:rPr>
          <w:rFonts w:ascii="Times New Roman" w:hAnsi="Times New Roman"/>
          <w:color w:val="000000"/>
          <w:sz w:val="24"/>
          <w:szCs w:val="24"/>
        </w:rPr>
        <w:t xml:space="preserve"> on calcium oxalate urolithiasis in rats. Indian Journal of Experimental Biology,  2006, 44(12): 981–986.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SHIRWAIKAR A, ISSAC D, MALINI S.  Effect of </w:t>
      </w:r>
      <w:r>
        <w:rPr>
          <w:rFonts w:ascii="Times New Roman" w:hAnsi="Times New Roman"/>
          <w:i w:val="true"/>
          <w:color w:val="000000"/>
          <w:sz w:val="24"/>
          <w:szCs w:val="24"/>
        </w:rPr>
        <w:t>Aerva lanata</w:t>
      </w:r>
      <w:r>
        <w:rPr>
          <w:rFonts w:ascii="Times New Roman" w:hAnsi="Times New Roman"/>
          <w:color w:val="000000"/>
          <w:sz w:val="24"/>
          <w:szCs w:val="24"/>
        </w:rPr>
        <w:t xml:space="preserve"> on cisplatin and gentamicin models of acute renal failure. Journal of Ethnopharmacology,  2004, 90(1): 81–86.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KUMAR D, PRASAD DN, PARKASH J, et al.  Antiasthmatic activity of ethanolic extract of </w:t>
      </w:r>
      <w:r>
        <w:rPr>
          <w:rFonts w:ascii="Times New Roman" w:hAnsi="Times New Roman"/>
          <w:i w:val="true"/>
          <w:color w:val="000000"/>
          <w:sz w:val="24"/>
          <w:szCs w:val="24"/>
        </w:rPr>
        <w:t>Aerva lanata</w:t>
      </w:r>
      <w:r>
        <w:rPr>
          <w:rFonts w:ascii="Times New Roman" w:hAnsi="Times New Roman"/>
          <w:color w:val="000000"/>
          <w:sz w:val="24"/>
          <w:szCs w:val="24"/>
        </w:rPr>
        <w:t xml:space="preserve"> Linn. Pharmacologyonline,  2009, 2: 1075–1081.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SAVADI RV, ALAGAWADI KR.  Antifertility activity of ethanolic extracts of </w:t>
      </w:r>
      <w:r>
        <w:rPr>
          <w:rFonts w:ascii="Times New Roman" w:hAnsi="Times New Roman"/>
          <w:i w:val="true"/>
          <w:color w:val="000000"/>
          <w:sz w:val="24"/>
          <w:szCs w:val="24"/>
        </w:rPr>
        <w:t>Plumbago indica</w:t>
      </w:r>
      <w:r>
        <w:rPr>
          <w:rFonts w:ascii="Times New Roman" w:hAnsi="Times New Roman"/>
          <w:color w:val="000000"/>
          <w:sz w:val="24"/>
          <w:szCs w:val="24"/>
        </w:rPr>
        <w:t xml:space="preserve"> and </w:t>
      </w:r>
      <w:r>
        <w:rPr>
          <w:rFonts w:ascii="Times New Roman" w:hAnsi="Times New Roman"/>
          <w:i w:val="true"/>
          <w:color w:val="000000"/>
          <w:sz w:val="24"/>
          <w:szCs w:val="24"/>
        </w:rPr>
        <w:t>Aerva lanata</w:t>
      </w:r>
      <w:r>
        <w:rPr>
          <w:rFonts w:ascii="Times New Roman" w:hAnsi="Times New Roman"/>
          <w:color w:val="000000"/>
          <w:sz w:val="24"/>
          <w:szCs w:val="24"/>
        </w:rPr>
        <w:t xml:space="preserve"> on albino rats. International Journal of Green Pharmacy,  2009, 3(3): 230–233.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MARISWAMY Y, GNARAJ WE, JOHNSON M.  Chromatographic finger print analysis of steroids in </w:t>
      </w:r>
      <w:r>
        <w:rPr>
          <w:rFonts w:ascii="Times New Roman" w:hAnsi="Times New Roman"/>
          <w:i w:val="true"/>
          <w:color w:val="000000"/>
          <w:sz w:val="24"/>
          <w:szCs w:val="24"/>
        </w:rPr>
        <w:t>Aerva lanata</w:t>
      </w:r>
      <w:r>
        <w:rPr>
          <w:rFonts w:ascii="Times New Roman" w:hAnsi="Times New Roman"/>
          <w:color w:val="000000"/>
          <w:sz w:val="24"/>
          <w:szCs w:val="24"/>
        </w:rPr>
        <w:t xml:space="preserve"> L. by HPTLC technique. Asian Pacific Journal of Tropical Biomedicine,  2011, 1(6): 428–433.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NEVIN KG, VIJAYAMMAL PL.  Effect of </w:t>
      </w:r>
      <w:r>
        <w:rPr>
          <w:rFonts w:ascii="Times New Roman" w:hAnsi="Times New Roman"/>
          <w:i w:val="true"/>
          <w:color w:val="000000"/>
          <w:sz w:val="24"/>
          <w:szCs w:val="24"/>
        </w:rPr>
        <w:t>Aerva lanata</w:t>
      </w:r>
      <w:r>
        <w:rPr>
          <w:rFonts w:ascii="Times New Roman" w:hAnsi="Times New Roman"/>
          <w:color w:val="000000"/>
          <w:sz w:val="24"/>
          <w:szCs w:val="24"/>
        </w:rPr>
        <w:t xml:space="preserve"> against hepatotoxicity of carbon tetrachloride in rats. Environmental Toxicology and Pharmacology,  2005, 20(3): 471–477.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SOUNDARRAJAN P, MAHESH R, RAMESH T, et al.  Hypolipidemic activity of </w:t>
      </w:r>
      <w:r>
        <w:rPr>
          <w:rFonts w:ascii="Times New Roman" w:hAnsi="Times New Roman"/>
          <w:i w:val="true"/>
          <w:color w:val="000000"/>
          <w:sz w:val="24"/>
          <w:szCs w:val="24"/>
        </w:rPr>
        <w:t>Aerva lanata</w:t>
      </w:r>
      <w:r>
        <w:rPr>
          <w:rFonts w:ascii="Times New Roman" w:hAnsi="Times New Roman"/>
          <w:color w:val="000000"/>
          <w:sz w:val="24"/>
          <w:szCs w:val="24"/>
        </w:rPr>
        <w:t xml:space="preserve"> on ethylene glycol induced calcium oxalate urolithiasis in rats. Pharmacologyonline,  2007, 1: 557–563.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SHARIF M, ANJUM I, SHABBIR A, et al.  Immunomodulatory and anti-inflammatory effects of </w:t>
      </w:r>
      <w:r>
        <w:rPr>
          <w:rFonts w:ascii="Times New Roman" w:hAnsi="Times New Roman"/>
          <w:i w:val="true"/>
          <w:color w:val="000000"/>
          <w:sz w:val="24"/>
          <w:szCs w:val="24"/>
        </w:rPr>
        <w:t>Aerva lanata</w:t>
      </w:r>
      <w:r>
        <w:rPr>
          <w:rFonts w:ascii="Times New Roman" w:hAnsi="Times New Roman"/>
          <w:color w:val="000000"/>
          <w:sz w:val="24"/>
          <w:szCs w:val="24"/>
        </w:rPr>
        <w:t xml:space="preserve"> in ovalbumin induced allergic asthmatic mice. Journal of Ethnopharmacology,  2022, 289: 115087.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NEVIN KG, VIJAYAMMAL PL.  Pharmacological and immunomodulatory effects of </w:t>
      </w:r>
      <w:r>
        <w:rPr>
          <w:rFonts w:ascii="Times New Roman" w:hAnsi="Times New Roman"/>
          <w:i w:val="true"/>
          <w:color w:val="000000"/>
          <w:sz w:val="24"/>
          <w:szCs w:val="24"/>
        </w:rPr>
        <w:t>Aerva lanata</w:t>
      </w:r>
      <w:r>
        <w:rPr>
          <w:rFonts w:ascii="Times New Roman" w:hAnsi="Times New Roman"/>
          <w:color w:val="000000"/>
          <w:sz w:val="24"/>
          <w:szCs w:val="24"/>
        </w:rPr>
        <w:t xml:space="preserve"> in Daltons lymphoma ascites-bearing mice. Pharmaceutical Biology,  2005, 43(7): 640–646.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NEVIN KG, VIJAYAMMAL PL.  Effect of </w:t>
      </w:r>
      <w:r>
        <w:rPr>
          <w:rFonts w:ascii="Times New Roman" w:hAnsi="Times New Roman"/>
          <w:i w:val="true"/>
          <w:color w:val="000000"/>
          <w:sz w:val="24"/>
          <w:szCs w:val="24"/>
        </w:rPr>
        <w:t>Aerva lanata</w:t>
      </w:r>
      <w:r>
        <w:rPr>
          <w:rFonts w:ascii="Times New Roman" w:hAnsi="Times New Roman"/>
          <w:color w:val="000000"/>
          <w:sz w:val="24"/>
          <w:szCs w:val="24"/>
        </w:rPr>
        <w:t xml:space="preserve"> on solid tumor induced by DLA cells in mice. Fitoterapia,  2003, 74(6): 578–582.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SUNDER S, RAI AK, PRAVEEN S, et al.  Antidiarrhoeal activity of </w:t>
      </w:r>
      <w:r>
        <w:rPr>
          <w:rFonts w:ascii="Times New Roman" w:hAnsi="Times New Roman"/>
          <w:i w:val="true"/>
          <w:color w:val="000000"/>
          <w:sz w:val="24"/>
          <w:szCs w:val="24"/>
        </w:rPr>
        <w:t>Aerva lanata</w:t>
      </w:r>
      <w:r>
        <w:rPr>
          <w:rFonts w:ascii="Times New Roman" w:hAnsi="Times New Roman"/>
          <w:color w:val="000000"/>
          <w:sz w:val="24"/>
          <w:szCs w:val="24"/>
        </w:rPr>
        <w:t xml:space="preserve"> in experimentally induced diarrhea in rats. Pharmacology Online,  2011, 2: 921–928.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AGGARWAL KP, NARULA S, KAKKAR M, et al.  Nephrolithiasis: molecular mechanism of renal stone formation and the critical role played by modulators. BioMed Research International,  2013, 2013: 292953.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RATKALKAR VN, KLEINMAN JG.  Mechanisms of stone formation. Clinical Reviews in Bone and Mineral Metabolism,  2011, 9(3): 187–197.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KHAN SR, KOK DJ.  Modulators of urinary stone formation. Frontiers in Bioscience,  2004, 9(1−3): 1450–1482.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CENTENO V, DíAZ DE BARBOZA G, MARCHIONATTI A, et al.  Molecular mechanisms triggered by low-calcium diets. Nutrition Research Reviews,  2009, 22(2): 163–174.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PARK S, PEARLE MS.  Pathophysiology and management of calcium stones. Urologic Clinics of North America,  2007, 34(3): 323–334.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GUL Z, MONGA M.  Medical and dietary therapy for kidney stone prevention. Korean Journal of Urology,  2014, 55(12): 775–779.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HEILBERG IP, SCHOR N.  Renal stone disease: causes, evaluation and medical treatment. Arquivos Brasileiros de Endocrinologia &amp; Metabologia,  2006, 50: 823–831.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UPADHYAY OP, KUMAR K, TIWARI RK.  Ethnobotanical study of skin treatment uses of medicinal plants of Bihar. Pharmaceutical Biology,  1998, 36(3): 167–172.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KATEWA SS, CHAUDHARY BL, JAIN A.  Folk herbal medicines from tribal area of Rajasthan, India. Journal of Ethnopharmacology,  2004, 92(1): 41–46.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FARUQUE MO, UDDIN SB, BARLOW JW, et al.  Quantitative ethnobotany of medicinal plants used by indigenous communities in the Bandarban District of Bangladesh. Frontiers in pharmacology,  2018, 9: 40.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VEDAVATHY S, RAO KN.  Nephroprotectors-folk medicine of rayalaseema Andra Pradesh. Ancient Science of Life,  1990, 9(3): 164–147.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UPADHYAY B, ROY S, KUMAR A.  Traditional uses of medicinal plants among the rural communities of Churu district in the Thar Desert, India. Journal of Ethnopharmacology,  2007, 113(3): 387–399.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JOHN D.  One hundred useful raw drugs of the Kani tribes of Trivandrum forest division, Kerala, India. International Journal of Crude Drug Research,  1984, 22(1): 17–39.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PATEL PK, PATEL MA, SARALAI MG, et al.  Antiurolithiatic effects of </w:t>
      </w:r>
      <w:r>
        <w:rPr>
          <w:rFonts w:ascii="Times New Roman" w:hAnsi="Times New Roman"/>
          <w:i w:val="true"/>
          <w:color w:val="000000"/>
          <w:sz w:val="24"/>
          <w:szCs w:val="24"/>
        </w:rPr>
        <w:t>Solanum xanthocarpum</w:t>
      </w:r>
      <w:r>
        <w:rPr>
          <w:rFonts w:ascii="Times New Roman" w:hAnsi="Times New Roman"/>
          <w:color w:val="000000"/>
          <w:sz w:val="24"/>
          <w:szCs w:val="24"/>
        </w:rPr>
        <w:t xml:space="preserve"> fruit extract on ethylene-glycol-induced nephrolithiasis in rats. Journal of Young Pharmacists,  2012, 4(3): 164–170.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SIKARWAR RLS, KAUSHIK JP.  Folk medicines of the morena district, Madhya Pradesh, India. International Journal of Pharmacognosy,  1993, 31(4): 283–287.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GIRACH RD, AMINUDDIN, SIDDIQUI PA, et al.  Traditional plant remedies among the Kondh of District Dhenkanal (Orissa). International Journal of Pharmacognosy,  1994, 32(3): 274–283.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MAURYA SK, KUSHWAHA AK, SETH A.  Ethnomedicinal review of Usnakantaka (</w:t>
      </w:r>
      <w:r>
        <w:rPr>
          <w:rFonts w:ascii="Times New Roman" w:hAnsi="Times New Roman"/>
          <w:i w:val="true"/>
          <w:color w:val="000000"/>
          <w:sz w:val="24"/>
          <w:szCs w:val="24"/>
        </w:rPr>
        <w:t>Echinops echinatus</w:t>
      </w:r>
      <w:r>
        <w:rPr>
          <w:rFonts w:ascii="Times New Roman" w:hAnsi="Times New Roman"/>
          <w:color w:val="000000"/>
          <w:sz w:val="24"/>
          <w:szCs w:val="24"/>
        </w:rPr>
        <w:t xml:space="preserve"> Roxb). Pharmacognosy Reviews,  2015, 9(18): 149–154.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SHARMA A, SHARMA AK, CHAND T, et al.  Physicochemical and phytochemical screening of flowers extract of </w:t>
      </w:r>
      <w:r>
        <w:rPr>
          <w:rFonts w:ascii="Times New Roman" w:hAnsi="Times New Roman"/>
          <w:i w:val="true"/>
          <w:color w:val="000000"/>
          <w:sz w:val="24"/>
          <w:szCs w:val="24"/>
        </w:rPr>
        <w:t>Aerva lanata</w:t>
      </w:r>
      <w:r>
        <w:rPr>
          <w:rFonts w:ascii="Times New Roman" w:hAnsi="Times New Roman"/>
          <w:color w:val="000000"/>
          <w:sz w:val="24"/>
          <w:szCs w:val="24"/>
        </w:rPr>
        <w:t xml:space="preserve"> Linn. International Journal of Pharmacology &amp; Biological Sciences,  2013, 7(3): 1–8.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THAKUR L, GHODASRA U, PATEL N, et al.  Novel approaches for stability improvement in natural medicines. Pharmacognosy Reviews,  2011, 5(9): 48–54.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ZHAO Y, KUMAR D, PRASAD DN, et al.  Morphoanatomic, physicochemical, and phytochemical standardization with HPTLC fingerprinting of aerial parts of </w:t>
      </w:r>
      <w:r>
        <w:rPr>
          <w:rFonts w:ascii="Times New Roman" w:hAnsi="Times New Roman"/>
          <w:i w:val="true"/>
          <w:color w:val="000000"/>
          <w:sz w:val="24"/>
          <w:szCs w:val="24"/>
        </w:rPr>
        <w:t>Aerva lanata</w:t>
      </w:r>
      <w:r>
        <w:rPr>
          <w:rFonts w:ascii="Times New Roman" w:hAnsi="Times New Roman"/>
          <w:color w:val="000000"/>
          <w:sz w:val="24"/>
          <w:szCs w:val="24"/>
        </w:rPr>
        <w:t xml:space="preserve"> (Linn) Juss ex Schult. Journal of Traditional Chinese Medical Sciences,  2015, 2(1): 39–44.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AGGARWAL A, TANDON S, SINGLA SK, et al.  Diminution of oxalate induced renal tubular epithelial cell injury and inhibition of calcium oxalate crystallization </w:t>
      </w:r>
      <w:r>
        <w:rPr>
          <w:rFonts w:ascii="Times New Roman" w:hAnsi="Times New Roman"/>
          <w:i w:val="true"/>
          <w:color w:val="000000"/>
          <w:sz w:val="24"/>
          <w:szCs w:val="24"/>
        </w:rPr>
        <w:t>in vitro</w:t>
      </w:r>
      <w:r>
        <w:rPr>
          <w:rFonts w:ascii="Times New Roman" w:hAnsi="Times New Roman"/>
          <w:color w:val="000000"/>
          <w:sz w:val="24"/>
          <w:szCs w:val="24"/>
        </w:rPr>
        <w:t xml:space="preserve"> by aqueous extract of Tribulus terrestris. International Brazilian Journal of Urology,  2010, 36(4): 480–489.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CHAUDHARY A, SINGLA SK, TANDON C. </w:t>
      </w:r>
      <w:r>
        <w:rPr>
          <w:rFonts w:ascii="Times New Roman" w:hAnsi="Times New Roman"/>
          <w:i w:val="true"/>
          <w:color w:val="000000"/>
          <w:sz w:val="24"/>
          <w:szCs w:val="24"/>
        </w:rPr>
        <w:t>In vitro</w:t>
      </w:r>
      <w:r>
        <w:rPr>
          <w:rFonts w:ascii="Times New Roman" w:hAnsi="Times New Roman"/>
          <w:color w:val="000000"/>
          <w:sz w:val="24"/>
          <w:szCs w:val="24"/>
        </w:rPr>
        <w:t xml:space="preserve"> evaluation of </w:t>
      </w:r>
      <w:r>
        <w:rPr>
          <w:rFonts w:ascii="Times New Roman" w:hAnsi="Times New Roman"/>
          <w:i w:val="true"/>
          <w:color w:val="000000"/>
          <w:sz w:val="24"/>
          <w:szCs w:val="24"/>
        </w:rPr>
        <w:t>Terminalia arjuna</w:t>
      </w:r>
      <w:r>
        <w:rPr>
          <w:rFonts w:ascii="Times New Roman" w:hAnsi="Times New Roman"/>
          <w:color w:val="000000"/>
          <w:sz w:val="24"/>
          <w:szCs w:val="24"/>
        </w:rPr>
        <w:t xml:space="preserve"> on calcium phosphate and calcium oxalate crystallization. Indian Journal of Pharmaceutical Sciences,  2010, 72(3): 340–345.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CHAIYARIT S, THONGBOONKERD V.  Defining and systematic analyses of aggregation indices to evaluate degree of calcium oxalate crystal aggregation. Frontiers in Chemistry,  2017, 5: 113.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YILMAZ H, EKINCI N, ÖMERLI A, et al. The protective effect of </w:t>
      </w:r>
      <w:r>
        <w:rPr>
          <w:rFonts w:ascii="Times New Roman" w:hAnsi="Times New Roman"/>
          <w:i w:val="true"/>
          <w:color w:val="000000"/>
          <w:sz w:val="24"/>
          <w:szCs w:val="24"/>
        </w:rPr>
        <w:t>Myrtus communis</w:t>
      </w:r>
      <w:r>
        <w:rPr>
          <w:rFonts w:ascii="Times New Roman" w:hAnsi="Times New Roman"/>
          <w:color w:val="000000"/>
          <w:sz w:val="24"/>
          <w:szCs w:val="24"/>
        </w:rPr>
        <w:t xml:space="preserve"> L. against experimental kidney stone in rats. Advances in Traditional Medicine, 2022. doi: org/10.1007/s13596-021-00620-4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BALKRISHNA A, SINHA S, VARSHNEY A. 28-day repeated dose toxicological evaluation of Coronil in Sprague Dawley rats: behavioral, hematological, biochemical and histopathological assessments under GLP compliance. Drug and Chemical Toxicology, 2022: 1-14.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DEMOTIER S, LIMELETTE A, CHARMILLON A, et al.  Incidence, associated factors, and effect on renal function of amoxicillin crystalluria in patients receiving high doses of intravenous amoxicillin (The CRISTAMOX Study): a cohort study. EClinical Medicine,  2022, 45: 101340.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SULAIMAN CT, JYOTHI CK, JINU KRISHNAN UNNITHAN G, et al.  Phytochemical characterization and evaluation of Antiurolithiatic activity of selected source plants of </w:t>
      </w:r>
      <w:r>
        <w:rPr>
          <w:rFonts w:ascii="Times New Roman" w:hAnsi="Times New Roman"/>
          <w:i w:val="true"/>
          <w:color w:val="000000"/>
          <w:sz w:val="24"/>
          <w:szCs w:val="24"/>
        </w:rPr>
        <w:t>Pasha</w:t>
      </w:r>
      <w:r>
        <w:rPr>
          <w:rFonts w:ascii="Times New Roman" w:hAnsi="Times New Roman"/>
          <w:i w:val="true"/>
          <w:color w:val="000000"/>
          <w:sz w:val="24"/>
          <w:szCs w:val="24"/>
        </w:rPr>
        <w:t>nabheda</w:t>
      </w:r>
      <w:r>
        <w:rPr>
          <w:rFonts w:ascii="Times New Roman" w:hAnsi="Times New Roman"/>
          <w:color w:val="000000"/>
          <w:sz w:val="24"/>
          <w:szCs w:val="24"/>
        </w:rPr>
        <w:t xml:space="preserve">. Clinical Phytoscience,  2022, 8(1): 1–9.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GUPTA SK, BAGHEL MS, BHUYAN C, et al.  Evaluation of anti-urolithiatic activity of </w:t>
      </w:r>
      <w:r>
        <w:rPr>
          <w:rFonts w:ascii="Times New Roman" w:hAnsi="Times New Roman"/>
          <w:i w:val="true"/>
          <w:color w:val="000000"/>
          <w:sz w:val="24"/>
          <w:szCs w:val="24"/>
        </w:rPr>
        <w:t>Pashanabhedadi Ghrita</w:t>
      </w:r>
      <w:r>
        <w:rPr>
          <w:rFonts w:ascii="Times New Roman" w:hAnsi="Times New Roman"/>
          <w:color w:val="000000"/>
          <w:sz w:val="24"/>
          <w:szCs w:val="24"/>
        </w:rPr>
        <w:t xml:space="preserve"> against experimentally induced renal calculi in rats. Ayu,  2012, 33(3): 429–434.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CAI T, QI Y, JERGENS A, et al.  Effects of six common dietary nutrients on murine intestinal organoid growth. PLoS One,  2018, 13(2): e0191517.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SAEED F, AHMAD M. </w:t>
      </w:r>
      <w:r>
        <w:rPr>
          <w:rFonts w:ascii="Times New Roman" w:hAnsi="Times New Roman"/>
          <w:i w:val="true"/>
          <w:color w:val="000000"/>
          <w:sz w:val="24"/>
          <w:szCs w:val="24"/>
        </w:rPr>
        <w:t>In vivo</w:t>
      </w:r>
      <w:r>
        <w:rPr>
          <w:rFonts w:ascii="Times New Roman" w:hAnsi="Times New Roman"/>
          <w:color w:val="000000"/>
          <w:sz w:val="24"/>
          <w:szCs w:val="24"/>
        </w:rPr>
        <w:t xml:space="preserve"> studies: effects of </w:t>
      </w:r>
      <w:r>
        <w:rPr>
          <w:rFonts w:ascii="Times New Roman" w:hAnsi="Times New Roman"/>
          <w:i w:val="true"/>
          <w:color w:val="000000"/>
          <w:sz w:val="24"/>
          <w:szCs w:val="24"/>
        </w:rPr>
        <w:t>Arnica montana</w:t>
      </w:r>
      <w:r>
        <w:rPr>
          <w:rFonts w:ascii="Times New Roman" w:hAnsi="Times New Roman"/>
          <w:color w:val="000000"/>
          <w:sz w:val="24"/>
          <w:szCs w:val="24"/>
        </w:rPr>
        <w:t xml:space="preserve"> Linn. extract on blood, urine and histo-pathological parameters of albino rabbits. International Journal of Toxicological and Pharmacological Research,  2016, 8(4): 197–203.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LORDUMRONGKIAT N, CHOTECHUANG N, PRASANTH MI, et al.  HydroZitLa inhibits calcium oxalate stone formation in nephrolithic rats and promotes longevity in nematode </w:t>
      </w:r>
      <w:r>
        <w:rPr>
          <w:rFonts w:ascii="Times New Roman" w:hAnsi="Times New Roman"/>
          <w:i w:val="true"/>
          <w:color w:val="000000"/>
          <w:sz w:val="24"/>
          <w:szCs w:val="24"/>
        </w:rPr>
        <w:t>Caenorhabditis elegans</w:t>
      </w:r>
      <w:r>
        <w:rPr>
          <w:rFonts w:ascii="Times New Roman" w:hAnsi="Times New Roman"/>
          <w:color w:val="000000"/>
          <w:sz w:val="24"/>
          <w:szCs w:val="24"/>
        </w:rPr>
        <w:t xml:space="preserve">. Scientific Reports,  2022, 12(1): 1–14.    </w:t>
      </w:r>
    </w:p>
    <w:p w14:paraId="26DC5D90" w14:textId="77777777" w:rsidP="005C371A" w:rsidR="002C12B3" w:rsidRDefault="002C12B3" w:rsidRPr="00B5060F">
      <w:pPr>
        <w:autoSpaceDE w:val="0"/>
        <w:autoSpaceDN w:val="0"/>
        <w:adjustRightInd w:val="0"/>
        <w:spacing w:line="360" w:lineRule="auto"/>
        <w:jc w:val="left"/>
        <w:rPr>
          <w:rFonts w:ascii="Times New Roman" w:hAnsi="Times New Roman"/>
          <w:color w:val="000000"/>
          <w:kern w:val="0"/>
          <w:sz w:val="24"/>
          <w:szCs w:val="24"/>
        </w:rPr>
      </w:pPr>
    </w:p>
    <w:sectPr w:rsidR="002C12B3" w:rsidRPr="00B5060F" w:rsidSect="008F060C">
      <w:pgSz w:h="16838" w:w="11906"/>
      <w:pgMar w:bottom="1440" w:footer="992" w:gutter="0" w:header="851" w:left="1800" w:right="1800" w:top="1440"/>
      <w:cols w:space="425"/>
      <w:docGrid w:linePitch="312"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F92A9" w14:textId="77777777" w:rsidR="002A6FE7" w:rsidRDefault="002A6FE7" w:rsidP="00EA1486">
      <w:r>
        <w:separator/>
      </w:r>
    </w:p>
  </w:endnote>
  <w:endnote w:type="continuationSeparator" w:id="0">
    <w:p w14:paraId="3C7D9088" w14:textId="77777777" w:rsidR="002A6FE7" w:rsidRDefault="002A6FE7" w:rsidP="00EA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footnote w:id="-1" w:type="separator">
    <w:p w14:paraId="534B71F7" w14:textId="77777777" w:rsidP="00EA1486" w:rsidR="002A6FE7" w:rsidRDefault="002A6FE7">
      <w:r>
        <w:separator/>
      </w:r>
    </w:p>
  </w:footnote>
  <w:footnote w:id="0" w:type="continuationSeparator">
    <w:p w14:paraId="49F33D81" w14:textId="77777777" w:rsidP="00EA1486" w:rsidR="002A6FE7" w:rsidRDefault="002A6FE7">
      <w:r>
        <w:continuation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72E75011"/>
    <w:multiLevelType w:val="hybridMultilevel"/>
    <w:tmpl w:val="B6F8FA26"/>
    <w:lvl w:ilvl="0" w:tplc="67B4EFC4">
      <w:start w:val="1"/>
      <w:numFmt w:val="decimal"/>
      <w:lvlText w:val="[%1]"/>
      <w:lvlJc w:val="left"/>
      <w:pPr>
        <w:ind w:hanging="420" w:left="420"/>
      </w:pPr>
      <w:rPr>
        <w:rFonts w:hint="eastAsia"/>
      </w:rPr>
    </w:lvl>
    <w:lvl w:ilvl="1" w:tentative="1" w:tplc="04090019">
      <w:start w:val="1"/>
      <w:numFmt w:val="lowerLetter"/>
      <w:lvlText w:val="%2)"/>
      <w:lvlJc w:val="left"/>
      <w:pPr>
        <w:ind w:hanging="420" w:left="840"/>
      </w:pPr>
    </w:lvl>
    <w:lvl w:ilvl="2" w:tentative="1" w:tplc="0409001B">
      <w:start w:val="1"/>
      <w:numFmt w:val="lowerRoman"/>
      <w:lvlText w:val="%3."/>
      <w:lvlJc w:val="right"/>
      <w:pPr>
        <w:ind w:hanging="420" w:left="1260"/>
      </w:pPr>
    </w:lvl>
    <w:lvl w:ilvl="3" w:tentative="1" w:tplc="0409000F">
      <w:start w:val="1"/>
      <w:numFmt w:val="decimal"/>
      <w:lvlText w:val="%4."/>
      <w:lvlJc w:val="left"/>
      <w:pPr>
        <w:ind w:hanging="420" w:left="1680"/>
      </w:pPr>
    </w:lvl>
    <w:lvl w:ilvl="4" w:tentative="1" w:tplc="04090019">
      <w:start w:val="1"/>
      <w:numFmt w:val="lowerLetter"/>
      <w:lvlText w:val="%5)"/>
      <w:lvlJc w:val="left"/>
      <w:pPr>
        <w:ind w:hanging="420" w:left="2100"/>
      </w:pPr>
    </w:lvl>
    <w:lvl w:ilvl="5" w:tentative="1" w:tplc="0409001B">
      <w:start w:val="1"/>
      <w:numFmt w:val="lowerRoman"/>
      <w:lvlText w:val="%6."/>
      <w:lvlJc w:val="right"/>
      <w:pPr>
        <w:ind w:hanging="420" w:left="2520"/>
      </w:pPr>
    </w:lvl>
    <w:lvl w:ilvl="6" w:tentative="1" w:tplc="0409000F">
      <w:start w:val="1"/>
      <w:numFmt w:val="decimal"/>
      <w:lvlText w:val="%7."/>
      <w:lvlJc w:val="left"/>
      <w:pPr>
        <w:ind w:hanging="420" w:left="2940"/>
      </w:pPr>
    </w:lvl>
    <w:lvl w:ilvl="7" w:tentative="1" w:tplc="04090019">
      <w:start w:val="1"/>
      <w:numFmt w:val="lowerLetter"/>
      <w:lvlText w:val="%8)"/>
      <w:lvlJc w:val="left"/>
      <w:pPr>
        <w:ind w:hanging="420" w:left="3360"/>
      </w:pPr>
    </w:lvl>
    <w:lvl w:ilvl="8" w:tentative="1" w:tplc="0409001B">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zoom w:percent="100"/>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urora:used-aurora" w:val="i:1"/>
  </w:docVars>
  <w:rsids>
    <w:rsidRoot w:val="0053570B"/>
    <w:rsid w:val="000016A6"/>
    <w:rsid w:val="000045E4"/>
    <w:rsid w:val="00013430"/>
    <w:rsid w:val="000137E1"/>
    <w:rsid w:val="00014054"/>
    <w:rsid w:val="00027521"/>
    <w:rsid w:val="00034EF0"/>
    <w:rsid w:val="000478C8"/>
    <w:rsid w:val="00084862"/>
    <w:rsid w:val="000914F5"/>
    <w:rsid w:val="00093B3E"/>
    <w:rsid w:val="000960D8"/>
    <w:rsid w:val="000A3BD8"/>
    <w:rsid w:val="000D4C02"/>
    <w:rsid w:val="000E10F8"/>
    <w:rsid w:val="000E2E77"/>
    <w:rsid w:val="000F5F9B"/>
    <w:rsid w:val="00100EF1"/>
    <w:rsid w:val="00101806"/>
    <w:rsid w:val="001136F1"/>
    <w:rsid w:val="00114E70"/>
    <w:rsid w:val="001256C2"/>
    <w:rsid w:val="00130900"/>
    <w:rsid w:val="00135FCC"/>
    <w:rsid w:val="00136391"/>
    <w:rsid w:val="001516C9"/>
    <w:rsid w:val="00156DB6"/>
    <w:rsid w:val="00181FB4"/>
    <w:rsid w:val="0018715B"/>
    <w:rsid w:val="001A19F4"/>
    <w:rsid w:val="001A1E52"/>
    <w:rsid w:val="001A5A0E"/>
    <w:rsid w:val="001A791D"/>
    <w:rsid w:val="001B0B8C"/>
    <w:rsid w:val="001C25F9"/>
    <w:rsid w:val="001C3EF3"/>
    <w:rsid w:val="001C7B7E"/>
    <w:rsid w:val="001D1F8D"/>
    <w:rsid w:val="001D4C53"/>
    <w:rsid w:val="001D675B"/>
    <w:rsid w:val="001D7235"/>
    <w:rsid w:val="001E105E"/>
    <w:rsid w:val="001E4492"/>
    <w:rsid w:val="001F0CB6"/>
    <w:rsid w:val="0020412F"/>
    <w:rsid w:val="00206C27"/>
    <w:rsid w:val="00210BC9"/>
    <w:rsid w:val="00212D85"/>
    <w:rsid w:val="00231249"/>
    <w:rsid w:val="002324FE"/>
    <w:rsid w:val="00232F4C"/>
    <w:rsid w:val="002500D0"/>
    <w:rsid w:val="0025644B"/>
    <w:rsid w:val="002605A9"/>
    <w:rsid w:val="002630F8"/>
    <w:rsid w:val="00264A38"/>
    <w:rsid w:val="00293945"/>
    <w:rsid w:val="00297CB4"/>
    <w:rsid w:val="002A258D"/>
    <w:rsid w:val="002A6FE7"/>
    <w:rsid w:val="002A70C2"/>
    <w:rsid w:val="002B25D2"/>
    <w:rsid w:val="002B29DB"/>
    <w:rsid w:val="002C0F41"/>
    <w:rsid w:val="002C12B3"/>
    <w:rsid w:val="002C1819"/>
    <w:rsid w:val="002C4D05"/>
    <w:rsid w:val="002D7784"/>
    <w:rsid w:val="002E4BCD"/>
    <w:rsid w:val="002F1EBB"/>
    <w:rsid w:val="002F3967"/>
    <w:rsid w:val="002F6B73"/>
    <w:rsid w:val="00301F95"/>
    <w:rsid w:val="00305C29"/>
    <w:rsid w:val="00306EE2"/>
    <w:rsid w:val="00310294"/>
    <w:rsid w:val="0031356C"/>
    <w:rsid w:val="00332F7B"/>
    <w:rsid w:val="00337895"/>
    <w:rsid w:val="00355BC6"/>
    <w:rsid w:val="00371B5E"/>
    <w:rsid w:val="003779E6"/>
    <w:rsid w:val="003C696D"/>
    <w:rsid w:val="003E1E0C"/>
    <w:rsid w:val="003E5AF3"/>
    <w:rsid w:val="003F0A26"/>
    <w:rsid w:val="003F3ACC"/>
    <w:rsid w:val="003F6645"/>
    <w:rsid w:val="0040318F"/>
    <w:rsid w:val="00410687"/>
    <w:rsid w:val="0042409C"/>
    <w:rsid w:val="0042592E"/>
    <w:rsid w:val="004277B1"/>
    <w:rsid w:val="004307CC"/>
    <w:rsid w:val="00432EEB"/>
    <w:rsid w:val="004378B0"/>
    <w:rsid w:val="00456537"/>
    <w:rsid w:val="00456D16"/>
    <w:rsid w:val="00463B32"/>
    <w:rsid w:val="00464B65"/>
    <w:rsid w:val="0046750E"/>
    <w:rsid w:val="00477AEE"/>
    <w:rsid w:val="00482362"/>
    <w:rsid w:val="004903C9"/>
    <w:rsid w:val="00496C93"/>
    <w:rsid w:val="004A5725"/>
    <w:rsid w:val="004A7329"/>
    <w:rsid w:val="004C5618"/>
    <w:rsid w:val="004C7569"/>
    <w:rsid w:val="004D0E63"/>
    <w:rsid w:val="004D1FE7"/>
    <w:rsid w:val="004D29AC"/>
    <w:rsid w:val="004D62EB"/>
    <w:rsid w:val="004E17ED"/>
    <w:rsid w:val="004E65F1"/>
    <w:rsid w:val="004F6580"/>
    <w:rsid w:val="005012A1"/>
    <w:rsid w:val="00511E95"/>
    <w:rsid w:val="00520A8C"/>
    <w:rsid w:val="005319D9"/>
    <w:rsid w:val="0053570B"/>
    <w:rsid w:val="00535A7B"/>
    <w:rsid w:val="00554E3C"/>
    <w:rsid w:val="00556D38"/>
    <w:rsid w:val="005620D6"/>
    <w:rsid w:val="00563EB8"/>
    <w:rsid w:val="005748F4"/>
    <w:rsid w:val="00575C01"/>
    <w:rsid w:val="00580D0E"/>
    <w:rsid w:val="005B3B61"/>
    <w:rsid w:val="005C0043"/>
    <w:rsid w:val="005C0ED3"/>
    <w:rsid w:val="005C2A2B"/>
    <w:rsid w:val="005C371A"/>
    <w:rsid w:val="005D71D7"/>
    <w:rsid w:val="005F1228"/>
    <w:rsid w:val="005F6C00"/>
    <w:rsid w:val="005F7722"/>
    <w:rsid w:val="00627D80"/>
    <w:rsid w:val="00634D21"/>
    <w:rsid w:val="006460D2"/>
    <w:rsid w:val="0065237D"/>
    <w:rsid w:val="00652A46"/>
    <w:rsid w:val="00674201"/>
    <w:rsid w:val="00677977"/>
    <w:rsid w:val="006814A3"/>
    <w:rsid w:val="00691281"/>
    <w:rsid w:val="00696D83"/>
    <w:rsid w:val="00697D65"/>
    <w:rsid w:val="006A14EB"/>
    <w:rsid w:val="006A5E40"/>
    <w:rsid w:val="006A64B5"/>
    <w:rsid w:val="006A6915"/>
    <w:rsid w:val="006B1229"/>
    <w:rsid w:val="006D4BF4"/>
    <w:rsid w:val="006D541E"/>
    <w:rsid w:val="006D699E"/>
    <w:rsid w:val="006E3C3B"/>
    <w:rsid w:val="006F097A"/>
    <w:rsid w:val="006F6A77"/>
    <w:rsid w:val="00704F21"/>
    <w:rsid w:val="00706802"/>
    <w:rsid w:val="00713A9B"/>
    <w:rsid w:val="007255FC"/>
    <w:rsid w:val="00737231"/>
    <w:rsid w:val="007431AE"/>
    <w:rsid w:val="007628C4"/>
    <w:rsid w:val="00764643"/>
    <w:rsid w:val="007665E6"/>
    <w:rsid w:val="00783AAA"/>
    <w:rsid w:val="00796D1B"/>
    <w:rsid w:val="00796EB1"/>
    <w:rsid w:val="007A33CA"/>
    <w:rsid w:val="007A7196"/>
    <w:rsid w:val="007C09EC"/>
    <w:rsid w:val="007C2AAC"/>
    <w:rsid w:val="007C2BAF"/>
    <w:rsid w:val="007D77F0"/>
    <w:rsid w:val="007E2948"/>
    <w:rsid w:val="007E6481"/>
    <w:rsid w:val="007F207E"/>
    <w:rsid w:val="007F5521"/>
    <w:rsid w:val="00802EED"/>
    <w:rsid w:val="00813561"/>
    <w:rsid w:val="00815C29"/>
    <w:rsid w:val="00822A74"/>
    <w:rsid w:val="008343A3"/>
    <w:rsid w:val="008421F8"/>
    <w:rsid w:val="00846326"/>
    <w:rsid w:val="00851544"/>
    <w:rsid w:val="00853581"/>
    <w:rsid w:val="0086569B"/>
    <w:rsid w:val="00873E3B"/>
    <w:rsid w:val="00880C2D"/>
    <w:rsid w:val="008A3211"/>
    <w:rsid w:val="008A3D26"/>
    <w:rsid w:val="008A4549"/>
    <w:rsid w:val="008A601E"/>
    <w:rsid w:val="008B00EA"/>
    <w:rsid w:val="008B4B96"/>
    <w:rsid w:val="008B5936"/>
    <w:rsid w:val="008E2D7D"/>
    <w:rsid w:val="008F060C"/>
    <w:rsid w:val="008F6F80"/>
    <w:rsid w:val="0090540F"/>
    <w:rsid w:val="00907B50"/>
    <w:rsid w:val="009133B2"/>
    <w:rsid w:val="00915B6E"/>
    <w:rsid w:val="00916E48"/>
    <w:rsid w:val="0092236D"/>
    <w:rsid w:val="009230B8"/>
    <w:rsid w:val="00923CF2"/>
    <w:rsid w:val="00923D8A"/>
    <w:rsid w:val="0092710D"/>
    <w:rsid w:val="00932738"/>
    <w:rsid w:val="0093285E"/>
    <w:rsid w:val="00947720"/>
    <w:rsid w:val="00952A11"/>
    <w:rsid w:val="00961143"/>
    <w:rsid w:val="009676E0"/>
    <w:rsid w:val="00996DC3"/>
    <w:rsid w:val="00997023"/>
    <w:rsid w:val="009A0E14"/>
    <w:rsid w:val="009A1D81"/>
    <w:rsid w:val="009B1796"/>
    <w:rsid w:val="009B1B6F"/>
    <w:rsid w:val="009B6768"/>
    <w:rsid w:val="009C5614"/>
    <w:rsid w:val="009C6504"/>
    <w:rsid w:val="009C6D1A"/>
    <w:rsid w:val="009D0800"/>
    <w:rsid w:val="009E3DEA"/>
    <w:rsid w:val="009E5D11"/>
    <w:rsid w:val="00A077F8"/>
    <w:rsid w:val="00A31BB0"/>
    <w:rsid w:val="00A323A0"/>
    <w:rsid w:val="00A40E5C"/>
    <w:rsid w:val="00A42D69"/>
    <w:rsid w:val="00A471F3"/>
    <w:rsid w:val="00A50F31"/>
    <w:rsid w:val="00A556A3"/>
    <w:rsid w:val="00A57A9F"/>
    <w:rsid w:val="00A57AA8"/>
    <w:rsid w:val="00A70551"/>
    <w:rsid w:val="00A7587E"/>
    <w:rsid w:val="00A8045F"/>
    <w:rsid w:val="00AA655E"/>
    <w:rsid w:val="00AB4D30"/>
    <w:rsid w:val="00AB6467"/>
    <w:rsid w:val="00AC3D34"/>
    <w:rsid w:val="00AD0080"/>
    <w:rsid w:val="00AE1419"/>
    <w:rsid w:val="00AF3F2A"/>
    <w:rsid w:val="00AF448C"/>
    <w:rsid w:val="00B11A39"/>
    <w:rsid w:val="00B17A6E"/>
    <w:rsid w:val="00B45F8C"/>
    <w:rsid w:val="00B5060F"/>
    <w:rsid w:val="00B706CF"/>
    <w:rsid w:val="00B74CDE"/>
    <w:rsid w:val="00B84F3E"/>
    <w:rsid w:val="00B87651"/>
    <w:rsid w:val="00B916B0"/>
    <w:rsid w:val="00BA1135"/>
    <w:rsid w:val="00BA5310"/>
    <w:rsid w:val="00BB0703"/>
    <w:rsid w:val="00BB3994"/>
    <w:rsid w:val="00BB4ABE"/>
    <w:rsid w:val="00BC1B18"/>
    <w:rsid w:val="00BC3FE8"/>
    <w:rsid w:val="00BE05FE"/>
    <w:rsid w:val="00BE12C2"/>
    <w:rsid w:val="00BE3EC2"/>
    <w:rsid w:val="00BE7F81"/>
    <w:rsid w:val="00BF099C"/>
    <w:rsid w:val="00BF0E51"/>
    <w:rsid w:val="00BF4207"/>
    <w:rsid w:val="00C030CA"/>
    <w:rsid w:val="00C126D0"/>
    <w:rsid w:val="00C12F6C"/>
    <w:rsid w:val="00C15EB7"/>
    <w:rsid w:val="00C24D88"/>
    <w:rsid w:val="00C25176"/>
    <w:rsid w:val="00C273DF"/>
    <w:rsid w:val="00C3609D"/>
    <w:rsid w:val="00C45D43"/>
    <w:rsid w:val="00C546F0"/>
    <w:rsid w:val="00C72B10"/>
    <w:rsid w:val="00C73864"/>
    <w:rsid w:val="00C935A2"/>
    <w:rsid w:val="00C9564D"/>
    <w:rsid w:val="00CA2776"/>
    <w:rsid w:val="00CA6EA9"/>
    <w:rsid w:val="00CB5358"/>
    <w:rsid w:val="00CB5543"/>
    <w:rsid w:val="00CD1134"/>
    <w:rsid w:val="00CE042C"/>
    <w:rsid w:val="00CE0F68"/>
    <w:rsid w:val="00CF7354"/>
    <w:rsid w:val="00D130CD"/>
    <w:rsid w:val="00D15CF5"/>
    <w:rsid w:val="00D20DC7"/>
    <w:rsid w:val="00D239C0"/>
    <w:rsid w:val="00D258A6"/>
    <w:rsid w:val="00D329B7"/>
    <w:rsid w:val="00D41906"/>
    <w:rsid w:val="00D4196F"/>
    <w:rsid w:val="00D45461"/>
    <w:rsid w:val="00D56E9E"/>
    <w:rsid w:val="00D60E86"/>
    <w:rsid w:val="00D64A22"/>
    <w:rsid w:val="00D70FEF"/>
    <w:rsid w:val="00D930C4"/>
    <w:rsid w:val="00DA03C8"/>
    <w:rsid w:val="00DB059D"/>
    <w:rsid w:val="00DB3F11"/>
    <w:rsid w:val="00DB6769"/>
    <w:rsid w:val="00DB7920"/>
    <w:rsid w:val="00DC0F24"/>
    <w:rsid w:val="00DC703B"/>
    <w:rsid w:val="00DD3B47"/>
    <w:rsid w:val="00DE0A98"/>
    <w:rsid w:val="00DE4AB1"/>
    <w:rsid w:val="00DF75F7"/>
    <w:rsid w:val="00E02BCB"/>
    <w:rsid w:val="00E124A2"/>
    <w:rsid w:val="00E23C39"/>
    <w:rsid w:val="00E2401A"/>
    <w:rsid w:val="00E27DBD"/>
    <w:rsid w:val="00E3596C"/>
    <w:rsid w:val="00E415C2"/>
    <w:rsid w:val="00E559E8"/>
    <w:rsid w:val="00E66C3B"/>
    <w:rsid w:val="00E70179"/>
    <w:rsid w:val="00E71673"/>
    <w:rsid w:val="00E7350D"/>
    <w:rsid w:val="00E73B83"/>
    <w:rsid w:val="00E752EF"/>
    <w:rsid w:val="00E7542C"/>
    <w:rsid w:val="00E927BD"/>
    <w:rsid w:val="00E97DE7"/>
    <w:rsid w:val="00EA03E3"/>
    <w:rsid w:val="00EA1486"/>
    <w:rsid w:val="00EB198E"/>
    <w:rsid w:val="00EB3006"/>
    <w:rsid w:val="00EB4777"/>
    <w:rsid w:val="00EC3258"/>
    <w:rsid w:val="00EC616F"/>
    <w:rsid w:val="00EE0B90"/>
    <w:rsid w:val="00F01E6D"/>
    <w:rsid w:val="00F11638"/>
    <w:rsid w:val="00F13E7B"/>
    <w:rsid w:val="00F24AD4"/>
    <w:rsid w:val="00F25175"/>
    <w:rsid w:val="00F428EA"/>
    <w:rsid w:val="00F438FF"/>
    <w:rsid w:val="00F47C32"/>
    <w:rsid w:val="00F5235C"/>
    <w:rsid w:val="00F6507C"/>
    <w:rsid w:val="00F653E7"/>
    <w:rsid w:val="00F726FF"/>
    <w:rsid w:val="00F73EB3"/>
    <w:rsid w:val="00F96146"/>
    <w:rsid w:val="00F972B1"/>
    <w:rsid w:val="00FA3D32"/>
    <w:rsid w:val="00FA459F"/>
    <w:rsid w:val="00FA48D7"/>
    <w:rsid w:val="00FB0A40"/>
    <w:rsid w:val="00FB1B3A"/>
    <w:rsid w:val="00FD1B3B"/>
    <w:rsid w:val="00FE0CBE"/>
    <w:rsid w:val="00FE225A"/>
    <w:rsid w:val="00FE37AE"/>
    <w:rsid w:val="00FE4FE7"/>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87D827E"/>
  <w15:docId w15:val="{16CEBD41-E577-4A29-B707-DC208F13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Calibri" w:cs="Times New Roman" w:eastAsia="宋体" w:hAnsi="Calibri"/>
        <w:lang w:bidi="ar-SA" w:eastAsia="zh-CN" w:val="en-US"/>
      </w:rPr>
    </w:rPrDefault>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a" w:type="paragraph">
    <w:name w:val="Normal"/>
    <w:qFormat/>
    <w:rsid w:val="00575C01"/>
    <w:pPr>
      <w:widowControl w:val="0"/>
      <w:jc w:val="both"/>
    </w:pPr>
    <w:rPr>
      <w:kern w:val="2"/>
      <w:sz w:val="21"/>
      <w:szCs w:val="22"/>
    </w:rPr>
  </w:style>
  <w:style w:styleId="2" w:type="paragraph">
    <w:name w:val="heading 2"/>
    <w:basedOn w:val="a"/>
    <w:next w:val="a"/>
    <w:link w:val="20"/>
    <w:uiPriority w:val="9"/>
    <w:unhideWhenUsed/>
    <w:qFormat/>
    <w:rsid w:val="00B87651"/>
    <w:pPr>
      <w:keepNext/>
      <w:keepLines/>
      <w:spacing w:after="260" w:before="260" w:line="416" w:lineRule="auto"/>
      <w:outlineLvl w:val="1"/>
    </w:pPr>
    <w:rPr>
      <w:rFonts w:asciiTheme="majorHAnsi" w:cstheme="majorBidi" w:eastAsiaTheme="majorEastAsia" w:hAnsiTheme="majorHAnsi"/>
      <w:b/>
      <w:bCs/>
      <w:sz w:val="32"/>
      <w:szCs w:val="32"/>
    </w:r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Balloon Text"/>
    <w:basedOn w:val="a"/>
    <w:link w:val="a4"/>
    <w:uiPriority w:val="99"/>
    <w:semiHidden/>
    <w:unhideWhenUsed/>
    <w:rsid w:val="0053570B"/>
    <w:rPr>
      <w:kern w:val="0"/>
      <w:sz w:val="18"/>
      <w:szCs w:val="18"/>
    </w:rPr>
  </w:style>
  <w:style w:customStyle="1" w:styleId="a4" w:type="character">
    <w:name w:val="批注框文本 字符"/>
    <w:link w:val="a3"/>
    <w:uiPriority w:val="99"/>
    <w:semiHidden/>
    <w:rsid w:val="0053570B"/>
    <w:rPr>
      <w:sz w:val="18"/>
      <w:szCs w:val="18"/>
    </w:rPr>
  </w:style>
  <w:style w:styleId="a5" w:type="paragraph">
    <w:name w:val="header"/>
    <w:basedOn w:val="a"/>
    <w:link w:val="a6"/>
    <w:uiPriority w:val="99"/>
    <w:unhideWhenUsed/>
    <w:rsid w:val="00EA1486"/>
    <w:pPr>
      <w:pBdr>
        <w:bottom w:color="auto" w:space="1" w:sz="6" w:val="single"/>
      </w:pBdr>
      <w:tabs>
        <w:tab w:pos="4153" w:val="center"/>
        <w:tab w:pos="8306" w:val="right"/>
      </w:tabs>
      <w:snapToGrid w:val="0"/>
      <w:jc w:val="center"/>
    </w:pPr>
    <w:rPr>
      <w:sz w:val="18"/>
      <w:szCs w:val="18"/>
    </w:rPr>
  </w:style>
  <w:style w:customStyle="1" w:styleId="a6" w:type="character">
    <w:name w:val="页眉 字符"/>
    <w:link w:val="a5"/>
    <w:uiPriority w:val="99"/>
    <w:rsid w:val="00EA1486"/>
    <w:rPr>
      <w:kern w:val="2"/>
      <w:sz w:val="18"/>
      <w:szCs w:val="18"/>
    </w:rPr>
  </w:style>
  <w:style w:styleId="a7" w:type="paragraph">
    <w:name w:val="footer"/>
    <w:basedOn w:val="a"/>
    <w:link w:val="a8"/>
    <w:uiPriority w:val="99"/>
    <w:unhideWhenUsed/>
    <w:rsid w:val="00EA1486"/>
    <w:pPr>
      <w:tabs>
        <w:tab w:pos="4153" w:val="center"/>
        <w:tab w:pos="8306" w:val="right"/>
      </w:tabs>
      <w:snapToGrid w:val="0"/>
      <w:jc w:val="left"/>
    </w:pPr>
    <w:rPr>
      <w:sz w:val="18"/>
      <w:szCs w:val="18"/>
    </w:rPr>
  </w:style>
  <w:style w:customStyle="1" w:styleId="a8" w:type="character">
    <w:name w:val="页脚 字符"/>
    <w:link w:val="a7"/>
    <w:uiPriority w:val="99"/>
    <w:rsid w:val="00EA1486"/>
    <w:rPr>
      <w:kern w:val="2"/>
      <w:sz w:val="18"/>
      <w:szCs w:val="18"/>
    </w:rPr>
  </w:style>
  <w:style w:styleId="a9" w:type="character">
    <w:name w:val="Hyperlink"/>
    <w:uiPriority w:val="99"/>
    <w:semiHidden/>
    <w:unhideWhenUsed/>
    <w:rsid w:val="00EA1486"/>
    <w:rPr>
      <w:color w:val="0000CC"/>
      <w:u w:val="single"/>
    </w:rPr>
  </w:style>
  <w:style w:styleId="aa" w:type="paragraph">
    <w:name w:val="Document Map"/>
    <w:basedOn w:val="a"/>
    <w:link w:val="ab"/>
    <w:uiPriority w:val="99"/>
    <w:semiHidden/>
    <w:unhideWhenUsed/>
    <w:rsid w:val="00696D83"/>
    <w:rPr>
      <w:rFonts w:ascii="宋体"/>
      <w:sz w:val="18"/>
      <w:szCs w:val="18"/>
    </w:rPr>
  </w:style>
  <w:style w:customStyle="1" w:styleId="ab" w:type="character">
    <w:name w:val="文档结构图 字符"/>
    <w:basedOn w:val="a0"/>
    <w:link w:val="aa"/>
    <w:uiPriority w:val="99"/>
    <w:semiHidden/>
    <w:rsid w:val="00696D83"/>
    <w:rPr>
      <w:rFonts w:ascii="宋体"/>
      <w:kern w:val="2"/>
      <w:sz w:val="18"/>
      <w:szCs w:val="18"/>
    </w:rPr>
  </w:style>
  <w:style w:styleId="ac" w:type="table">
    <w:name w:val="Table Grid"/>
    <w:basedOn w:val="a1"/>
    <w:uiPriority w:val="59"/>
    <w:rsid w:val="004307C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DecimalAligned" w:type="paragraph">
    <w:name w:val="Decimal Aligned"/>
    <w:basedOn w:val="a"/>
    <w:uiPriority w:val="40"/>
    <w:qFormat/>
    <w:rsid w:val="00114E70"/>
    <w:pPr>
      <w:widowControl/>
      <w:tabs>
        <w:tab w:pos="360" w:val="decimal"/>
      </w:tabs>
      <w:spacing w:after="200" w:line="276" w:lineRule="auto"/>
      <w:jc w:val="left"/>
    </w:pPr>
    <w:rPr>
      <w:rFonts w:asciiTheme="minorHAnsi" w:cstheme="minorBidi" w:eastAsiaTheme="minorEastAsia" w:hAnsiTheme="minorHAnsi"/>
      <w:kern w:val="0"/>
      <w:sz w:val="22"/>
    </w:rPr>
  </w:style>
  <w:style w:styleId="ad" w:type="paragraph">
    <w:name w:val="footnote text"/>
    <w:basedOn w:val="a"/>
    <w:link w:val="ae"/>
    <w:uiPriority w:val="99"/>
    <w:unhideWhenUsed/>
    <w:rsid w:val="00114E70"/>
    <w:pPr>
      <w:widowControl/>
      <w:jc w:val="left"/>
    </w:pPr>
    <w:rPr>
      <w:rFonts w:asciiTheme="minorHAnsi" w:cstheme="minorBidi" w:eastAsiaTheme="minorEastAsia" w:hAnsiTheme="minorHAnsi"/>
      <w:kern w:val="0"/>
      <w:sz w:val="20"/>
      <w:szCs w:val="20"/>
    </w:rPr>
  </w:style>
  <w:style w:customStyle="1" w:styleId="ae" w:type="character">
    <w:name w:val="脚注文本 字符"/>
    <w:basedOn w:val="a0"/>
    <w:link w:val="ad"/>
    <w:uiPriority w:val="99"/>
    <w:rsid w:val="00114E70"/>
    <w:rPr>
      <w:rFonts w:asciiTheme="minorHAnsi" w:cstheme="minorBidi" w:eastAsiaTheme="minorEastAsia" w:hAnsiTheme="minorHAnsi"/>
    </w:rPr>
  </w:style>
  <w:style w:styleId="af" w:type="character">
    <w:name w:val="Subtle Emphasis"/>
    <w:basedOn w:val="a0"/>
    <w:uiPriority w:val="19"/>
    <w:qFormat/>
    <w:rsid w:val="00114E70"/>
    <w:rPr>
      <w:rFonts w:cstheme="minorBidi" w:eastAsiaTheme="minorEastAsia"/>
      <w:bCs w:val="0"/>
      <w:i/>
      <w:iCs/>
      <w:color w:themeColor="text1" w:themeTint="7F" w:val="808080"/>
      <w:szCs w:val="22"/>
      <w:lang w:eastAsia="zh-CN"/>
    </w:rPr>
  </w:style>
  <w:style w:styleId="-1" w:type="table">
    <w:name w:val="Light Shading Accent 1"/>
    <w:basedOn w:val="a1"/>
    <w:uiPriority w:val="60"/>
    <w:rsid w:val="00114E70"/>
    <w:rPr>
      <w:rFonts w:asciiTheme="minorHAnsi" w:cstheme="minorBidi" w:eastAsiaTheme="minorEastAsia" w:hAnsiTheme="minorHAnsi"/>
      <w:color w:themeColor="accent1" w:themeShade="BF" w:val="365F91"/>
      <w:sz w:val="22"/>
      <w:szCs w:val="22"/>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customStyle="1" w:styleId="1" w:type="table">
    <w:name w:val="日历 1"/>
    <w:basedOn w:val="a1"/>
    <w:uiPriority w:val="99"/>
    <w:qFormat/>
    <w:rsid w:val="006A6915"/>
    <w:rPr>
      <w:rFonts w:asciiTheme="minorHAnsi" w:cstheme="minorBidi" w:eastAsiaTheme="minorEastAsia" w:hAnsiTheme="minorHAnsi"/>
      <w:sz w:val="22"/>
      <w:szCs w:val="22"/>
    </w:rPr>
    <w:tblPr>
      <w:tblStyleRowBandSize w:val="1"/>
      <w:tblStyleColBandSize w:val="1"/>
    </w:tblPr>
    <w:tcPr>
      <w:shd w:color="auto" w:fill="auto" w:val="clear"/>
    </w:tcPr>
    <w:tblStylePr w:type="firstRow">
      <w:pPr>
        <w:wordWrap/>
        <w:spacing w:afterAutospacing="0" w:afterLines="0" w:beforeAutospacing="0" w:beforeLines="0" w:line="240" w:lineRule="auto"/>
      </w:pPr>
      <w:rPr>
        <w:rFonts w:asciiTheme="minorHAnsi" w:eastAsiaTheme="minorEastAsia"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color="auto" w:fill="auto" w:val="clear"/>
      </w:tcPr>
    </w:tblStylePr>
    <w:tblStylePr w:type="band1Horz">
      <w:tblPr/>
      <w:tcPr>
        <w:tcBorders>
          <w:top w:val="nil"/>
          <w:left w:val="nil"/>
          <w:bottom w:val="nil"/>
          <w:right w:val="nil"/>
          <w:insideH w:val="nil"/>
          <w:insideV w:val="nil"/>
          <w:tl2br w:val="nil"/>
          <w:tr2bl w:val="nil"/>
        </w:tcBorders>
        <w:shd w:color="auto" w:fill="auto" w:val="clear"/>
      </w:tcPr>
    </w:tblStylePr>
    <w:tblStylePr w:type="band2Horz">
      <w:tblPr/>
      <w:tcPr>
        <w:tcBorders>
          <w:top w:color="000000" w:space="0" w:sz="24" w:themeColor="text1" w:val="single"/>
          <w:left w:val="nil"/>
          <w:bottom w:color="000000" w:space="0" w:sz="24" w:themeColor="text1" w:val="single"/>
          <w:right w:val="nil"/>
          <w:insideH w:val="nil"/>
          <w:insideV w:val="nil"/>
          <w:tl2br w:val="nil"/>
          <w:tr2bl w:val="nil"/>
        </w:tcBorders>
        <w:shd w:color="auto" w:fill="auto" w:val="clear"/>
      </w:tcPr>
    </w:tblStylePr>
  </w:style>
  <w:style w:styleId="af0" w:type="paragraph">
    <w:name w:val="List Paragraph"/>
    <w:basedOn w:val="a"/>
    <w:uiPriority w:val="34"/>
    <w:qFormat/>
    <w:rsid w:val="00463B32"/>
    <w:pPr>
      <w:ind w:firstLine="420" w:firstLineChars="200"/>
    </w:pPr>
  </w:style>
  <w:style w:customStyle="1" w:styleId="20" w:type="character">
    <w:name w:val="标题 2 字符"/>
    <w:basedOn w:val="a0"/>
    <w:link w:val="2"/>
    <w:uiPriority w:val="9"/>
    <w:rsid w:val="00B87651"/>
    <w:rPr>
      <w:rFonts w:asciiTheme="majorHAnsi" w:cstheme="majorBidi" w:eastAsiaTheme="majorEastAsia" w:hAnsiTheme="majorHAns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042401">
      <w:bodyDiv w:val="1"/>
      <w:marLeft w:val="0"/>
      <w:marRight w:val="0"/>
      <w:marTop w:val="0"/>
      <w:marBottom w:val="0"/>
      <w:divBdr>
        <w:top w:val="none" w:sz="0" w:space="0" w:color="auto"/>
        <w:left w:val="none" w:sz="0" w:space="0" w:color="auto"/>
        <w:bottom w:val="none" w:sz="0" w:space="0" w:color="auto"/>
        <w:right w:val="none" w:sz="0" w:space="0" w:color="auto"/>
      </w:divBdr>
      <w:divsChild>
        <w:div w:id="395976647">
          <w:marLeft w:val="0"/>
          <w:marRight w:val="0"/>
          <w:marTop w:val="0"/>
          <w:marBottom w:val="0"/>
          <w:divBdr>
            <w:top w:val="none" w:sz="0" w:space="0" w:color="auto"/>
            <w:left w:val="none" w:sz="0" w:space="0" w:color="auto"/>
            <w:bottom w:val="none" w:sz="0" w:space="0" w:color="auto"/>
            <w:right w:val="none" w:sz="0" w:space="0" w:color="auto"/>
          </w:divBdr>
          <w:divsChild>
            <w:div w:id="523134133">
              <w:marLeft w:val="0"/>
              <w:marRight w:val="0"/>
              <w:marTop w:val="0"/>
              <w:marBottom w:val="0"/>
              <w:divBdr>
                <w:top w:val="none" w:sz="0" w:space="0" w:color="auto"/>
                <w:left w:val="none" w:sz="0" w:space="0" w:color="auto"/>
                <w:bottom w:val="none" w:sz="0" w:space="0" w:color="auto"/>
                <w:right w:val="none" w:sz="0" w:space="0" w:color="auto"/>
              </w:divBdr>
              <w:divsChild>
                <w:div w:id="918566273">
                  <w:marLeft w:val="0"/>
                  <w:marRight w:val="0"/>
                  <w:marTop w:val="0"/>
                  <w:marBottom w:val="0"/>
                  <w:divBdr>
                    <w:top w:val="none" w:sz="0" w:space="0" w:color="auto"/>
                    <w:left w:val="none" w:sz="0" w:space="0" w:color="auto"/>
                    <w:bottom w:val="none" w:sz="0" w:space="0" w:color="auto"/>
                    <w:right w:val="none" w:sz="0" w:space="0" w:color="auto"/>
                  </w:divBdr>
                  <w:divsChild>
                    <w:div w:id="27073102">
                      <w:marLeft w:val="0"/>
                      <w:marRight w:val="0"/>
                      <w:marTop w:val="0"/>
                      <w:marBottom w:val="0"/>
                      <w:divBdr>
                        <w:top w:val="none" w:sz="0" w:space="0" w:color="auto"/>
                        <w:left w:val="none" w:sz="0" w:space="0" w:color="auto"/>
                        <w:bottom w:val="none" w:sz="0" w:space="0" w:color="auto"/>
                        <w:right w:val="none" w:sz="0" w:space="0" w:color="auto"/>
                      </w:divBdr>
                      <w:divsChild>
                        <w:div w:id="558637358">
                          <w:marLeft w:val="0"/>
                          <w:marRight w:val="0"/>
                          <w:marTop w:val="0"/>
                          <w:marBottom w:val="0"/>
                          <w:divBdr>
                            <w:top w:val="none" w:sz="0" w:space="0" w:color="auto"/>
                            <w:left w:val="none" w:sz="0" w:space="0" w:color="auto"/>
                            <w:bottom w:val="none" w:sz="0" w:space="0" w:color="auto"/>
                            <w:right w:val="none" w:sz="0" w:space="0" w:color="auto"/>
                          </w:divBdr>
                          <w:divsChild>
                            <w:div w:id="1596094480">
                              <w:marLeft w:val="0"/>
                              <w:marRight w:val="0"/>
                              <w:marTop w:val="0"/>
                              <w:marBottom w:val="0"/>
                              <w:divBdr>
                                <w:top w:val="none" w:sz="0" w:space="0" w:color="auto"/>
                                <w:left w:val="none" w:sz="0" w:space="0" w:color="auto"/>
                                <w:bottom w:val="none" w:sz="0" w:space="0" w:color="auto"/>
                                <w:right w:val="none" w:sz="0" w:space="0" w:color="auto"/>
                              </w:divBdr>
                              <w:divsChild>
                                <w:div w:id="608511308">
                                  <w:marLeft w:val="0"/>
                                  <w:marRight w:val="0"/>
                                  <w:marTop w:val="0"/>
                                  <w:marBottom w:val="0"/>
                                  <w:divBdr>
                                    <w:top w:val="none" w:sz="0" w:space="0" w:color="auto"/>
                                    <w:left w:val="none" w:sz="0" w:space="0" w:color="auto"/>
                                    <w:bottom w:val="none" w:sz="0" w:space="0" w:color="auto"/>
                                    <w:right w:val="none" w:sz="0" w:space="0" w:color="auto"/>
                                  </w:divBdr>
                                  <w:divsChild>
                                    <w:div w:id="862480052">
                                      <w:marLeft w:val="0"/>
                                      <w:marRight w:val="0"/>
                                      <w:marTop w:val="0"/>
                                      <w:marBottom w:val="0"/>
                                      <w:divBdr>
                                        <w:top w:val="none" w:sz="0" w:space="0" w:color="auto"/>
                                        <w:left w:val="none" w:sz="0" w:space="0" w:color="auto"/>
                                        <w:bottom w:val="none" w:sz="0" w:space="0" w:color="auto"/>
                                        <w:right w:val="none" w:sz="0" w:space="0" w:color="auto"/>
                                      </w:divBdr>
                                      <w:divsChild>
                                        <w:div w:id="1584995802">
                                          <w:marLeft w:val="0"/>
                                          <w:marRight w:val="0"/>
                                          <w:marTop w:val="0"/>
                                          <w:marBottom w:val="0"/>
                                          <w:divBdr>
                                            <w:top w:val="none" w:sz="0" w:space="0" w:color="auto"/>
                                            <w:left w:val="none" w:sz="0" w:space="0" w:color="auto"/>
                                            <w:bottom w:val="none" w:sz="0" w:space="0" w:color="auto"/>
                                            <w:right w:val="none" w:sz="0" w:space="0" w:color="auto"/>
                                          </w:divBdr>
                                          <w:divsChild>
                                            <w:div w:id="11807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media/image2.jpeg"
                 Type="http://schemas.openxmlformats.org/officeDocument/2006/relationships/image"/>
   <Relationship Id="rId11"
                 Target="media/image3.jpeg"
                 Type="http://schemas.openxmlformats.org/officeDocument/2006/relationships/image"/>
   <Relationship Id="rId12"
                 Target="media/image4.jpeg"
                 Type="http://schemas.openxmlformats.org/officeDocument/2006/relationships/image"/>
   <Relationship Id="rId13"
                 Target="media/image5.jpeg"
                 Type="http://schemas.openxmlformats.org/officeDocument/2006/relationships/image"/>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 Id="rId9"
                 Target="media/image1.jpeg"
                 Type="http://schemas.openxmlformats.org/officeDocument/2006/relationships/imag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109</Words>
  <Characters>627</Characters>
  <Application>Microsoft Office Word</Application>
  <DocSecurity>0</DocSecurity>
  <Lines>5</Lines>
  <Paragraphs>1</Paragraphs>
  <ScaleCrop>false</ScaleCrop>
  <Company>http://sdwm.org</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2017-11-20T05:33:00Z</dcterms:created>
  <dc:creator>Administrator</dc:creator>
  <cp:lastModifiedBy>尹 真</cp:lastModifiedBy>
  <dcterms:modified xsi:type="dcterms:W3CDTF">2020-06-18T02:22:00Z</dcterms:modified>
  <cp:revision>111</cp:revision>
</cp:coreProperties>
</file>