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268D" w:rsidRPr="00F75FB5" w:rsidRDefault="00A0268D" w:rsidP="00A0268D">
      <w:pPr>
        <w:pStyle w:val="Heading2"/>
        <w:spacing w:line="240" w:lineRule="auto"/>
        <w:jc w:val="center"/>
        <w:rPr>
          <w:sz w:val="28"/>
          <w:szCs w:val="32"/>
          <w:shd w:val="clear" w:color="auto" w:fill="FFFFFF"/>
          <w:lang w:val="mn-MN"/>
        </w:rPr>
      </w:pPr>
      <w:bookmarkStart w:id="0" w:name="_Toc207118609"/>
      <w:bookmarkStart w:id="1" w:name="_Toc207273517"/>
      <w:r w:rsidRPr="00F75FB5">
        <w:rPr>
          <w:sz w:val="28"/>
          <w:szCs w:val="32"/>
          <w:shd w:val="clear" w:color="auto" w:fill="FFFFFF"/>
          <w:lang w:val="mn-MN"/>
        </w:rPr>
        <w:t>ТӨРСНИЙ ДАРААХ ЭРТ ҮЕИЙН</w:t>
      </w:r>
      <w:r w:rsidRPr="00F75FB5">
        <w:rPr>
          <w:sz w:val="28"/>
          <w:szCs w:val="32"/>
          <w:shd w:val="clear" w:color="auto" w:fill="FFFFFF"/>
        </w:rPr>
        <w:t xml:space="preserve"> </w:t>
      </w:r>
      <w:r w:rsidRPr="00F75FB5">
        <w:rPr>
          <w:sz w:val="28"/>
          <w:szCs w:val="32"/>
          <w:shd w:val="clear" w:color="auto" w:fill="FFFFFF"/>
          <w:lang w:val="mn-MN"/>
        </w:rPr>
        <w:t>ХҮНД ХЭЛБЭРИЙН ЦУС АЛДАЛТЫН ЭРСДЭЛТ ХҮЧИН ЗҮЙЛС: ТОХИОЛДОЛ-ХЯНАЛТЫН СУДАЛГАА</w:t>
      </w:r>
      <w:bookmarkEnd w:id="0"/>
      <w:bookmarkEnd w:id="1"/>
    </w:p>
    <w:p w:rsidR="00A0268D" w:rsidRPr="00AB6B96" w:rsidRDefault="00A0268D" w:rsidP="00A0268D">
      <w:pPr>
        <w:rPr>
          <w:shd w:val="clear" w:color="auto" w:fill="FFFFFF"/>
          <w:lang w:val="mn-MN"/>
        </w:rPr>
      </w:pPr>
    </w:p>
    <w:p w:rsidR="00A0268D" w:rsidRDefault="00A0268D" w:rsidP="00A0268D">
      <w:pPr>
        <w:tabs>
          <w:tab w:val="left" w:pos="2955"/>
        </w:tabs>
        <w:spacing w:line="276" w:lineRule="auto"/>
        <w:jc w:val="right"/>
        <w:rPr>
          <w:rFonts w:ascii="Arial" w:hAnsi="Arial" w:cs="Arial"/>
          <w:i/>
          <w:iCs/>
          <w:color w:val="000000"/>
          <w:sz w:val="22"/>
          <w:szCs w:val="22"/>
          <w:shd w:val="clear" w:color="auto" w:fill="FFFFFF"/>
          <w:lang w:val="mn-MN"/>
        </w:rPr>
      </w:pPr>
      <w:r w:rsidRPr="00F33EEF">
        <w:rPr>
          <w:rFonts w:ascii="Arial" w:hAnsi="Arial" w:cs="Arial"/>
          <w:i/>
          <w:iCs/>
          <w:color w:val="000000"/>
          <w:sz w:val="22"/>
          <w:szCs w:val="22"/>
          <w:shd w:val="clear" w:color="auto" w:fill="FFFFFF"/>
          <w:lang w:val="mn-MN"/>
        </w:rPr>
        <w:t>Б.Хорлоо, Ж.Сарантунгалаг</w:t>
      </w:r>
      <w:r w:rsidRPr="00F33EEF">
        <w:rPr>
          <w:rFonts w:ascii="Arial" w:hAnsi="Arial" w:cs="Arial"/>
          <w:i/>
          <w:iCs/>
          <w:color w:val="000000"/>
          <w:sz w:val="22"/>
          <w:szCs w:val="22"/>
          <w:shd w:val="clear" w:color="auto" w:fill="FFFFFF"/>
        </w:rPr>
        <w:t xml:space="preserve">, </w:t>
      </w:r>
      <w:r w:rsidRPr="00F33EEF">
        <w:rPr>
          <w:rFonts w:ascii="Arial" w:hAnsi="Arial" w:cs="Arial"/>
          <w:i/>
          <w:iCs/>
          <w:color w:val="000000"/>
          <w:sz w:val="22"/>
          <w:szCs w:val="22"/>
          <w:shd w:val="clear" w:color="auto" w:fill="FFFFFF"/>
          <w:lang w:val="mn-MN"/>
        </w:rPr>
        <w:t>З.Цолмонгарав,</w:t>
      </w:r>
    </w:p>
    <w:p w:rsidR="00A0268D" w:rsidRDefault="00A0268D" w:rsidP="00A0268D">
      <w:pPr>
        <w:tabs>
          <w:tab w:val="left" w:pos="2955"/>
        </w:tabs>
        <w:spacing w:line="276" w:lineRule="auto"/>
        <w:jc w:val="right"/>
        <w:rPr>
          <w:rFonts w:ascii="Arial" w:hAnsi="Arial" w:cs="Arial"/>
          <w:i/>
          <w:iCs/>
          <w:color w:val="000000"/>
          <w:sz w:val="22"/>
          <w:szCs w:val="22"/>
          <w:shd w:val="clear" w:color="auto" w:fill="FFFFFF"/>
          <w:lang w:val="mn-MN"/>
        </w:rPr>
      </w:pPr>
      <w:r w:rsidRPr="00F33EEF">
        <w:rPr>
          <w:rFonts w:ascii="Arial" w:hAnsi="Arial" w:cs="Arial"/>
          <w:i/>
          <w:iCs/>
          <w:color w:val="000000"/>
          <w:sz w:val="22"/>
          <w:szCs w:val="22"/>
          <w:shd w:val="clear" w:color="auto" w:fill="FFFFFF"/>
          <w:lang w:val="mn-MN"/>
        </w:rPr>
        <w:t>Н.Батболд, Б.Энхмаа, Э.Насантогтох</w:t>
      </w:r>
    </w:p>
    <w:p w:rsidR="00A0268D" w:rsidRPr="00F33EEF" w:rsidRDefault="00A0268D" w:rsidP="00A0268D">
      <w:pPr>
        <w:tabs>
          <w:tab w:val="left" w:pos="2955"/>
        </w:tabs>
        <w:spacing w:line="276" w:lineRule="auto"/>
        <w:jc w:val="right"/>
        <w:rPr>
          <w:rFonts w:ascii="Arial" w:hAnsi="Arial" w:cs="Arial"/>
          <w:i/>
          <w:iCs/>
          <w:color w:val="000000"/>
          <w:sz w:val="22"/>
          <w:szCs w:val="22"/>
          <w:shd w:val="clear" w:color="auto" w:fill="FFFFFF"/>
          <w:lang w:val="mn-MN"/>
        </w:rPr>
      </w:pPr>
    </w:p>
    <w:p w:rsidR="00A0268D" w:rsidRPr="00F33EEF" w:rsidRDefault="00A0268D" w:rsidP="00A0268D">
      <w:pPr>
        <w:tabs>
          <w:tab w:val="left" w:pos="2955"/>
        </w:tabs>
        <w:spacing w:line="276" w:lineRule="auto"/>
        <w:jc w:val="right"/>
        <w:rPr>
          <w:rFonts w:ascii="Arial" w:hAnsi="Arial" w:cs="Arial"/>
          <w:i/>
          <w:iCs/>
          <w:color w:val="000000"/>
          <w:sz w:val="22"/>
          <w:szCs w:val="22"/>
          <w:shd w:val="clear" w:color="auto" w:fill="FFFFFF"/>
          <w:lang w:val="mn-MN"/>
        </w:rPr>
      </w:pPr>
      <w:r w:rsidRPr="00F33EEF">
        <w:rPr>
          <w:rFonts w:ascii="Arial" w:hAnsi="Arial" w:cs="Arial"/>
          <w:i/>
          <w:iCs/>
          <w:color w:val="000000"/>
          <w:sz w:val="22"/>
          <w:szCs w:val="22"/>
          <w:shd w:val="clear" w:color="auto" w:fill="FFFFFF"/>
          <w:lang w:val="mn-MN"/>
        </w:rPr>
        <w:t>Эх хүүхдийн эрүүл мэндийн үндэсний төв</w:t>
      </w:r>
    </w:p>
    <w:p w:rsidR="00A0268D" w:rsidRPr="00AB6B96" w:rsidRDefault="00A0268D" w:rsidP="00A0268D">
      <w:pPr>
        <w:tabs>
          <w:tab w:val="left" w:pos="2955"/>
        </w:tabs>
        <w:spacing w:line="276" w:lineRule="auto"/>
        <w:jc w:val="right"/>
        <w:rPr>
          <w:rFonts w:ascii="Arial" w:hAnsi="Arial" w:cs="Arial"/>
          <w:color w:val="000000"/>
          <w:shd w:val="clear" w:color="auto" w:fill="FFFFFF"/>
          <w:lang w:val="mn-MN"/>
        </w:rPr>
      </w:pPr>
    </w:p>
    <w:p w:rsidR="00A0268D" w:rsidRPr="00BA39E6" w:rsidRDefault="00A0268D" w:rsidP="00A0268D">
      <w:pPr>
        <w:jc w:val="center"/>
        <w:rPr>
          <w:rFonts w:ascii="Arial" w:hAnsi="Arial" w:cs="Arial"/>
          <w:b/>
          <w:bCs/>
          <w:sz w:val="28"/>
          <w:szCs w:val="28"/>
        </w:rPr>
      </w:pPr>
      <w:bookmarkStart w:id="2" w:name="_GoBack"/>
      <w:r w:rsidRPr="00BA39E6">
        <w:rPr>
          <w:rFonts w:ascii="Arial" w:hAnsi="Arial" w:cs="Arial"/>
          <w:b/>
          <w:bCs/>
          <w:sz w:val="28"/>
          <w:szCs w:val="28"/>
        </w:rPr>
        <w:t>RISK FACTORS FOR SEVERE POSTPARTUM HEMORRHAGE: A CASE-CONTROL STUDY</w:t>
      </w:r>
    </w:p>
    <w:bookmarkEnd w:id="2"/>
    <w:p w:rsidR="00A0268D" w:rsidRPr="00BA39E6" w:rsidRDefault="00A0268D" w:rsidP="00A0268D">
      <w:pPr>
        <w:jc w:val="right"/>
        <w:rPr>
          <w:rFonts w:ascii="Arial" w:hAnsi="Arial" w:cs="Arial"/>
          <w:i/>
          <w:iCs/>
          <w:sz w:val="22"/>
          <w:szCs w:val="22"/>
        </w:rPr>
      </w:pPr>
      <w:r w:rsidRPr="00F33EEF">
        <w:br/>
      </w:r>
      <w:r w:rsidRPr="00BA39E6">
        <w:rPr>
          <w:rFonts w:ascii="Arial" w:hAnsi="Arial" w:cs="Arial"/>
          <w:i/>
          <w:iCs/>
          <w:sz w:val="22"/>
          <w:szCs w:val="22"/>
        </w:rPr>
        <w:t>Khorloo.B, Nasantogtokh.E, Sarantungalag.J</w:t>
      </w:r>
      <w:r w:rsidRPr="00BA39E6">
        <w:rPr>
          <w:rFonts w:ascii="Arial" w:hAnsi="Arial" w:cs="Arial"/>
          <w:i/>
          <w:iCs/>
          <w:sz w:val="22"/>
          <w:szCs w:val="22"/>
          <w:lang w:val="mn-MN"/>
        </w:rPr>
        <w:t xml:space="preserve">, </w:t>
      </w:r>
      <w:r w:rsidRPr="00BA39E6">
        <w:rPr>
          <w:rFonts w:ascii="Arial" w:hAnsi="Arial" w:cs="Arial"/>
          <w:i/>
          <w:iCs/>
          <w:sz w:val="22"/>
          <w:szCs w:val="22"/>
        </w:rPr>
        <w:t xml:space="preserve">Tsolmongarav.Z, </w:t>
      </w:r>
    </w:p>
    <w:p w:rsidR="00A0268D" w:rsidRPr="00BA39E6" w:rsidRDefault="00A0268D" w:rsidP="00A0268D">
      <w:pPr>
        <w:jc w:val="right"/>
        <w:rPr>
          <w:rFonts w:ascii="Arial" w:hAnsi="Arial" w:cs="Arial"/>
          <w:bCs/>
          <w:i/>
          <w:iCs/>
          <w:color w:val="000000" w:themeColor="text1"/>
          <w:kern w:val="36"/>
          <w:sz w:val="22"/>
          <w:szCs w:val="22"/>
        </w:rPr>
      </w:pPr>
      <w:r w:rsidRPr="00BA39E6">
        <w:rPr>
          <w:rFonts w:ascii="Arial" w:hAnsi="Arial" w:cs="Arial"/>
          <w:bCs/>
          <w:i/>
          <w:iCs/>
          <w:color w:val="000000" w:themeColor="text1"/>
          <w:kern w:val="36"/>
          <w:sz w:val="22"/>
          <w:szCs w:val="22"/>
        </w:rPr>
        <w:t>Batbold.N, Enkhmaa.B, Uuganbayar</w:t>
      </w:r>
    </w:p>
    <w:p w:rsidR="00A0268D" w:rsidRPr="00BA39E6" w:rsidRDefault="00A0268D" w:rsidP="00A0268D">
      <w:pPr>
        <w:jc w:val="right"/>
        <w:rPr>
          <w:rFonts w:ascii="Arial" w:hAnsi="Arial" w:cs="Arial"/>
          <w:bCs/>
          <w:i/>
          <w:iCs/>
          <w:color w:val="000000" w:themeColor="text1"/>
          <w:kern w:val="36"/>
          <w:sz w:val="22"/>
          <w:szCs w:val="22"/>
        </w:rPr>
      </w:pPr>
      <w:r w:rsidRPr="00BA39E6">
        <w:rPr>
          <w:rFonts w:ascii="Arial" w:hAnsi="Arial" w:cs="Arial"/>
          <w:bCs/>
          <w:i/>
          <w:iCs/>
          <w:color w:val="000000" w:themeColor="text1"/>
          <w:kern w:val="36"/>
          <w:sz w:val="22"/>
          <w:szCs w:val="22"/>
        </w:rPr>
        <w:t>N</w:t>
      </w:r>
      <w:r>
        <w:rPr>
          <w:rFonts w:ascii="Arial" w:hAnsi="Arial" w:cs="Arial"/>
          <w:bCs/>
          <w:i/>
          <w:iCs/>
          <w:color w:val="000000" w:themeColor="text1"/>
          <w:kern w:val="36"/>
          <w:sz w:val="22"/>
          <w:szCs w:val="22"/>
        </w:rPr>
        <w:t>ational center for maternal and child health</w:t>
      </w:r>
    </w:p>
    <w:p w:rsidR="00A0268D" w:rsidRPr="00BA39E6" w:rsidRDefault="00A0268D" w:rsidP="00A0268D">
      <w:pPr>
        <w:spacing w:line="276" w:lineRule="auto"/>
        <w:jc w:val="both"/>
        <w:rPr>
          <w:rFonts w:ascii="Arial" w:hAnsi="Arial" w:cs="Arial"/>
        </w:rPr>
      </w:pPr>
    </w:p>
    <w:p w:rsidR="00A0268D" w:rsidRPr="00BA39E6" w:rsidRDefault="00A0268D" w:rsidP="00A0268D">
      <w:pPr>
        <w:spacing w:line="276" w:lineRule="auto"/>
        <w:jc w:val="both"/>
        <w:rPr>
          <w:rFonts w:ascii="Arial" w:hAnsi="Arial" w:cs="Arial"/>
          <w:color w:val="000000"/>
          <w:shd w:val="clear" w:color="auto" w:fill="FFFFFF"/>
        </w:rPr>
      </w:pPr>
      <w:r w:rsidRPr="00BA39E6">
        <w:rPr>
          <w:rFonts w:ascii="Arial" w:hAnsi="Arial" w:cs="Arial"/>
          <w:b/>
        </w:rPr>
        <w:t>Introduction</w:t>
      </w:r>
      <w:r w:rsidRPr="00BA39E6">
        <w:rPr>
          <w:rFonts w:ascii="Arial" w:hAnsi="Arial" w:cs="Arial"/>
          <w:b/>
          <w:lang w:val="mn-MN"/>
        </w:rPr>
        <w:t xml:space="preserve">: </w:t>
      </w:r>
      <w:r w:rsidRPr="00BA39E6">
        <w:rPr>
          <w:rFonts w:ascii="Arial" w:hAnsi="Arial" w:cs="Arial"/>
          <w:color w:val="232323"/>
          <w:shd w:val="clear" w:color="auto" w:fill="FFFFFF"/>
        </w:rPr>
        <w:t>Postpartum hemorrhage (PPH) is an obstetric emergency. It is one of the top five causes of maternal mortality in both resource-abundant and resource-limited countries.</w:t>
      </w:r>
      <w:r w:rsidRPr="00BA39E6">
        <w:rPr>
          <w:rFonts w:ascii="Arial" w:hAnsi="Arial" w:cs="Arial"/>
          <w:color w:val="232323"/>
          <w:shd w:val="clear" w:color="auto" w:fill="FFFFFF"/>
          <w:lang w:val="mn-MN"/>
        </w:rPr>
        <w:t xml:space="preserve"> </w:t>
      </w:r>
      <w:r w:rsidRPr="00BA39E6">
        <w:rPr>
          <w:rFonts w:ascii="Arial" w:hAnsi="Arial" w:cs="Arial"/>
          <w:color w:val="000000"/>
          <w:shd w:val="clear" w:color="auto" w:fill="FFFFFF"/>
        </w:rPr>
        <w:t>PPH occurs in approximately 1% to 3% of all deliveries and is the leading cause of obstetric morbidity and mortality worldwide</w:t>
      </w:r>
      <w:r w:rsidRPr="00BA39E6">
        <w:rPr>
          <w:rFonts w:ascii="Arial" w:hAnsi="Arial" w:cs="Arial"/>
          <w:color w:val="2F4A8B"/>
          <w:u w:val="single"/>
          <w:shd w:val="clear" w:color="auto" w:fill="FFFFFF"/>
        </w:rPr>
        <w:t>,</w:t>
      </w:r>
      <w:r w:rsidRPr="00BA39E6">
        <w:rPr>
          <w:rFonts w:ascii="Arial" w:hAnsi="Arial" w:cs="Arial"/>
          <w:color w:val="000000"/>
          <w:shd w:val="clear" w:color="auto" w:fill="FFFFFF"/>
        </w:rPr>
        <w:t xml:space="preserve"> accounting for approximately 8% of maternal deaths in developing countries and 20% of maternal deaths in developed countries. The United States has one of the highest maternal mortality rates at 11% and continues to rise, increasing from 8 to 40 cases per 10,000 deliveries</w:t>
      </w:r>
      <w:r w:rsidRPr="00BA39E6">
        <w:rPr>
          <w:rFonts w:ascii="Arial" w:hAnsi="Arial" w:cs="Arial"/>
          <w:color w:val="2F4A8B"/>
          <w:u w:val="single"/>
          <w:shd w:val="clear" w:color="auto" w:fill="FFFFFF"/>
        </w:rPr>
        <w:t xml:space="preserve">. </w:t>
      </w:r>
      <w:r w:rsidRPr="00BA39E6">
        <w:rPr>
          <w:rFonts w:ascii="Arial" w:hAnsi="Arial" w:cs="Arial"/>
          <w:color w:val="000000"/>
          <w:shd w:val="clear" w:color="auto" w:fill="FFFFFF"/>
        </w:rPr>
        <w:t>In Europe, PPH occurs in approximately 13% of deliveries. Uterine atony, the primary cause of PPH, accounts for 70% to 80% of all hemorrhages.Traditionally, PPH is defined as more than 500 mL of estimated blood loss in a vaginal delivery or more than 1000 mL of estimated blood loss during Cesarean delivery. These parameters were redefined in 2017 by the American College of Obstetrics and Gynecology as a cumulative blood loss of more than 1000 mL with signs and symptoms of hypovolemia within 24 hours of the birth process, regardless of the mode of delivery. A loss of an approximate total blood volume of more than 1500 mL will typically cause clinical features of hypovolemia.</w:t>
      </w:r>
    </w:p>
    <w:p w:rsidR="00A0268D" w:rsidRPr="00AB6B96" w:rsidRDefault="00A0268D" w:rsidP="00A0268D">
      <w:pPr>
        <w:pStyle w:val="HTMLPreformatted"/>
        <w:spacing w:line="276" w:lineRule="auto"/>
        <w:jc w:val="both"/>
        <w:rPr>
          <w:rFonts w:ascii="Arial" w:eastAsia="Times New Roman" w:hAnsi="Arial" w:cs="Arial"/>
          <w:sz w:val="24"/>
          <w:szCs w:val="24"/>
        </w:rPr>
      </w:pPr>
      <w:r w:rsidRPr="00AB6B96">
        <w:rPr>
          <w:rFonts w:ascii="Arial" w:eastAsia="Times New Roman" w:hAnsi="Arial" w:cs="Arial"/>
          <w:b/>
          <w:color w:val="1F1F1F"/>
          <w:sz w:val="24"/>
          <w:szCs w:val="24"/>
          <w:lang w:val="en"/>
        </w:rPr>
        <w:t>Materials and methods</w:t>
      </w:r>
      <w:r w:rsidRPr="00AB6B96">
        <w:rPr>
          <w:rFonts w:ascii="Arial" w:eastAsia="Times New Roman" w:hAnsi="Arial" w:cs="Arial"/>
          <w:color w:val="1F1F1F"/>
          <w:sz w:val="24"/>
          <w:szCs w:val="24"/>
          <w:lang w:val="en"/>
        </w:rPr>
        <w:t xml:space="preserve">: The study was conducted using a retrospective, case-control research design. The study population consisted of women who gave birth between January 1 and August 1, 2024 at the Department of Obstetrics and Gynecology at the National Center for Maternal and Child Health and were diagnosed with hemorrhage. </w:t>
      </w:r>
      <w:r w:rsidRPr="00AB6B96">
        <w:rPr>
          <w:rFonts w:ascii="Arial" w:eastAsia="Times New Roman" w:hAnsi="Arial" w:cs="Arial"/>
          <w:sz w:val="24"/>
          <w:szCs w:val="24"/>
          <w:lang w:val="en"/>
        </w:rPr>
        <w:t>The study participants were divided into 2 groups according to the amount of blood loss in the early postpartum period: the control group was less than 1500 ml (n=72), and the case group was women with blood loss of 1500 ml or more (n=26). Research data were collected through a questionnaire with 60 questions in 3 groups pre-designed from medical history. Statistical analysis was performed using IBM SPSS 26 software.</w:t>
      </w:r>
    </w:p>
    <w:p w:rsidR="00A0268D" w:rsidRPr="00F33EEF" w:rsidRDefault="00A0268D" w:rsidP="00A0268D">
      <w:pPr>
        <w:pStyle w:val="HTMLPreformatted"/>
        <w:spacing w:line="276" w:lineRule="auto"/>
        <w:jc w:val="both"/>
        <w:rPr>
          <w:rFonts w:ascii="Arial" w:eastAsia="Times New Roman" w:hAnsi="Arial" w:cs="Arial"/>
          <w:color w:val="1F1F1F"/>
          <w:sz w:val="24"/>
          <w:szCs w:val="24"/>
          <w:lang w:val="en"/>
        </w:rPr>
      </w:pPr>
      <w:r w:rsidRPr="00AB6B96">
        <w:rPr>
          <w:rFonts w:ascii="Arial" w:eastAsia="Times New Roman" w:hAnsi="Arial" w:cs="Arial"/>
          <w:b/>
          <w:color w:val="1F1F1F"/>
          <w:sz w:val="24"/>
          <w:szCs w:val="24"/>
        </w:rPr>
        <w:t>Result</w:t>
      </w:r>
      <w:r w:rsidRPr="00AB6B96">
        <w:rPr>
          <w:rFonts w:ascii="Arial" w:eastAsia="Times New Roman" w:hAnsi="Arial" w:cs="Arial"/>
          <w:b/>
          <w:color w:val="1F1F1F"/>
          <w:sz w:val="24"/>
          <w:szCs w:val="24"/>
          <w:lang w:val="en"/>
        </w:rPr>
        <w:t>s</w:t>
      </w:r>
      <w:r w:rsidRPr="00AB6B96">
        <w:rPr>
          <w:rFonts w:ascii="Arial" w:eastAsia="Times New Roman" w:hAnsi="Arial" w:cs="Arial"/>
          <w:b/>
          <w:color w:val="1F1F1F"/>
          <w:sz w:val="24"/>
          <w:szCs w:val="24"/>
          <w:lang w:val="mn-MN"/>
        </w:rPr>
        <w:t>:</w:t>
      </w:r>
      <w:r w:rsidRPr="00AB6B96">
        <w:rPr>
          <w:rFonts w:ascii="Arial" w:eastAsia="Times New Roman" w:hAnsi="Arial" w:cs="Arial"/>
          <w:color w:val="1F1F1F"/>
          <w:sz w:val="24"/>
          <w:szCs w:val="24"/>
          <w:lang w:val="mn-MN"/>
        </w:rPr>
        <w:t xml:space="preserve"> </w:t>
      </w:r>
      <w:r w:rsidRPr="00AB6B96">
        <w:rPr>
          <w:rFonts w:ascii="Arial" w:eastAsia="Times New Roman" w:hAnsi="Arial" w:cs="Arial"/>
          <w:color w:val="1F1F1F"/>
          <w:sz w:val="24"/>
          <w:szCs w:val="24"/>
          <w:lang w:val="en"/>
        </w:rPr>
        <w:t xml:space="preserve">The study included 98 women, maternal age was 17-44 which average 30.2±6.7 years. There were no significant differences in age, marital status, mode of delivery, and drug dosage in the case-control group. The risk of major bleeding in the </w:t>
      </w:r>
      <w:r w:rsidRPr="00AB6B96">
        <w:rPr>
          <w:rFonts w:ascii="Arial" w:eastAsia="Times New Roman" w:hAnsi="Arial" w:cs="Arial"/>
          <w:color w:val="1F1F1F"/>
          <w:sz w:val="24"/>
          <w:szCs w:val="24"/>
          <w:lang w:val="en"/>
        </w:rPr>
        <w:lastRenderedPageBreak/>
        <w:t xml:space="preserve">early postpartum period was associated with Preeclampsia, 1.9 (OR: 1.99; 0.71-5.57), cardiovascular disease 11.2 (OR=11.2; 1.1-18.5), placenta </w:t>
      </w:r>
      <w:r w:rsidRPr="00AB6B96">
        <w:rPr>
          <w:rFonts w:ascii="Arial" w:eastAsia="Times New Roman" w:hAnsi="Arial" w:cs="Arial"/>
          <w:color w:val="1F1F1F"/>
          <w:sz w:val="24"/>
          <w:szCs w:val="24"/>
        </w:rPr>
        <w:t>accrete spectrum</w:t>
      </w:r>
      <w:r w:rsidRPr="00AB6B96">
        <w:rPr>
          <w:rFonts w:ascii="Arial" w:eastAsia="Times New Roman" w:hAnsi="Arial" w:cs="Arial"/>
          <w:color w:val="1F1F1F"/>
          <w:sz w:val="24"/>
          <w:szCs w:val="24"/>
          <w:lang w:val="en"/>
        </w:rPr>
        <w:t xml:space="preserve"> 6.5 (OR=6.5; 2.01- 21.1), increasing anemia during pregnancy 8.05 (OR=8.5; 1.08-12.5). Also, pregnancy with twins and the weight of the fetus increased the amount of postpartum hemorrhage. Also, the amount of blood lost in mothers with other births was positively correlated with the duration of labor (r=0.348). There is a risk of increased bleeding in case of co-occurring causes of bleeding (p=0.042). </w:t>
      </w:r>
    </w:p>
    <w:p w:rsidR="00A0268D" w:rsidRDefault="00A0268D" w:rsidP="00A0268D">
      <w:pPr>
        <w:pStyle w:val="HTMLPreformatted"/>
        <w:spacing w:line="276" w:lineRule="auto"/>
        <w:jc w:val="both"/>
        <w:rPr>
          <w:rFonts w:ascii="Arial" w:eastAsia="Times New Roman" w:hAnsi="Arial" w:cs="Arial"/>
          <w:color w:val="1F1F1F"/>
          <w:sz w:val="24"/>
          <w:szCs w:val="24"/>
          <w:lang w:val="en"/>
        </w:rPr>
      </w:pPr>
      <w:r w:rsidRPr="00AB6B96">
        <w:rPr>
          <w:rFonts w:ascii="Arial" w:eastAsia="Times New Roman" w:hAnsi="Arial" w:cs="Arial"/>
          <w:b/>
          <w:color w:val="1F1F1F"/>
          <w:sz w:val="24"/>
          <w:szCs w:val="24"/>
          <w:lang w:val="en"/>
        </w:rPr>
        <w:t>Co</w:t>
      </w:r>
      <w:r w:rsidRPr="00AB6B96">
        <w:rPr>
          <w:rFonts w:ascii="Arial" w:eastAsia="Times New Roman" w:hAnsi="Arial" w:cs="Arial"/>
          <w:b/>
          <w:color w:val="1F1F1F"/>
          <w:sz w:val="24"/>
          <w:szCs w:val="24"/>
        </w:rPr>
        <w:t>n</w:t>
      </w:r>
      <w:r w:rsidRPr="00AB6B96">
        <w:rPr>
          <w:rFonts w:ascii="Arial" w:eastAsia="Times New Roman" w:hAnsi="Arial" w:cs="Arial"/>
          <w:b/>
          <w:color w:val="1F1F1F"/>
          <w:sz w:val="24"/>
          <w:szCs w:val="24"/>
          <w:lang w:val="en"/>
        </w:rPr>
        <w:t>clusions</w:t>
      </w:r>
      <w:r w:rsidRPr="00AB6B96">
        <w:rPr>
          <w:rFonts w:ascii="Arial" w:eastAsia="Times New Roman" w:hAnsi="Arial" w:cs="Arial"/>
          <w:b/>
          <w:color w:val="1F1F1F"/>
          <w:sz w:val="24"/>
          <w:szCs w:val="24"/>
          <w:lang w:val="mn-MN"/>
        </w:rPr>
        <w:t>:</w:t>
      </w:r>
      <w:r w:rsidRPr="00AB6B96">
        <w:rPr>
          <w:rFonts w:ascii="Arial" w:eastAsia="Times New Roman" w:hAnsi="Arial" w:cs="Arial"/>
          <w:color w:val="1F1F1F"/>
          <w:sz w:val="24"/>
          <w:szCs w:val="24"/>
          <w:lang w:val="mn-MN"/>
        </w:rPr>
        <w:t xml:space="preserve"> </w:t>
      </w:r>
      <w:r w:rsidRPr="00AB6B96">
        <w:rPr>
          <w:rFonts w:ascii="Arial" w:eastAsia="Times New Roman" w:hAnsi="Arial" w:cs="Arial"/>
          <w:color w:val="1F1F1F"/>
          <w:sz w:val="24"/>
          <w:szCs w:val="24"/>
          <w:lang w:val="en"/>
        </w:rPr>
        <w:t xml:space="preserve">The risk of major bleeding in the early postpartum period was associated with Preeclampsia, cardiovascular disease, placenta </w:t>
      </w:r>
      <w:r w:rsidRPr="00AB6B96">
        <w:rPr>
          <w:rFonts w:ascii="Arial" w:eastAsia="Times New Roman" w:hAnsi="Arial" w:cs="Arial"/>
          <w:color w:val="1F1F1F"/>
          <w:sz w:val="24"/>
          <w:szCs w:val="24"/>
        </w:rPr>
        <w:t>accrete spectrum</w:t>
      </w:r>
      <w:r w:rsidRPr="00AB6B96">
        <w:rPr>
          <w:rFonts w:ascii="Arial" w:eastAsia="Times New Roman" w:hAnsi="Arial" w:cs="Arial"/>
          <w:color w:val="1F1F1F"/>
          <w:sz w:val="24"/>
          <w:szCs w:val="24"/>
          <w:lang w:val="en"/>
        </w:rPr>
        <w:t>, increasing anemia during pregnancy. Also, pregnancy with twins and the weight of the fetus increased the amount of postpartum hemorrhage. Also, the amount of blood lost in mothers with other births was positively correlated with the duration of labor. There is a risk of increased bleeding in case of co-occurring causes of bleeding.</w:t>
      </w:r>
    </w:p>
    <w:p w:rsidR="00A0268D" w:rsidRDefault="00A0268D" w:rsidP="00A0268D">
      <w:pPr>
        <w:pStyle w:val="HTMLPreformatted"/>
        <w:spacing w:line="276" w:lineRule="auto"/>
        <w:jc w:val="both"/>
        <w:rPr>
          <w:rFonts w:ascii="Arial" w:hAnsi="Arial" w:cs="Arial"/>
          <w:sz w:val="24"/>
          <w:szCs w:val="24"/>
        </w:rPr>
      </w:pPr>
      <w:r w:rsidRPr="00F33EEF">
        <w:rPr>
          <w:rFonts w:ascii="Arial" w:eastAsia="Times New Roman" w:hAnsi="Arial" w:cs="Arial"/>
          <w:b/>
          <w:bCs/>
          <w:color w:val="1F1F1F"/>
          <w:sz w:val="24"/>
          <w:szCs w:val="24"/>
        </w:rPr>
        <w:t xml:space="preserve">Keywords: </w:t>
      </w:r>
      <w:r w:rsidRPr="00F33EEF">
        <w:rPr>
          <w:rFonts w:ascii="Arial" w:hAnsi="Arial" w:cs="Arial"/>
          <w:sz w:val="24"/>
          <w:szCs w:val="24"/>
        </w:rPr>
        <w:t>Postpartum hemorrhage, Risk factors, Obstetric complications</w:t>
      </w:r>
    </w:p>
    <w:p w:rsidR="00A0268D" w:rsidRPr="00F33EEF" w:rsidRDefault="00A0268D" w:rsidP="00A0268D">
      <w:pPr>
        <w:pStyle w:val="HTMLPreformatted"/>
        <w:spacing w:line="276" w:lineRule="auto"/>
        <w:jc w:val="both"/>
        <w:rPr>
          <w:rFonts w:ascii="Arial" w:hAnsi="Arial" w:cs="Arial"/>
          <w:sz w:val="24"/>
          <w:szCs w:val="24"/>
        </w:rPr>
      </w:pPr>
      <w:r w:rsidRPr="00F33EEF">
        <w:rPr>
          <w:rFonts w:ascii="Arial" w:eastAsia="Times New Roman" w:hAnsi="Arial" w:cs="Arial"/>
          <w:b/>
          <w:bCs/>
          <w:color w:val="1F1F1F"/>
          <w:sz w:val="24"/>
          <w:szCs w:val="24"/>
          <w:lang w:val="mn-MN"/>
        </w:rPr>
        <w:t>Түлхүүр үгс:</w:t>
      </w:r>
      <w:r w:rsidRPr="00F33EEF">
        <w:rPr>
          <w:rFonts w:ascii="Arial" w:eastAsia="Times New Roman" w:hAnsi="Arial" w:cs="Arial"/>
          <w:color w:val="1F1F1F"/>
          <w:sz w:val="24"/>
          <w:szCs w:val="24"/>
          <w:lang w:val="mn-MN"/>
        </w:rPr>
        <w:t xml:space="preserve"> Төрсөний дараах цус алдалт, эрсдэлт хүчин зүйлс, эх барихын хүндрэл</w:t>
      </w:r>
    </w:p>
    <w:p w:rsidR="00A0268D" w:rsidRPr="00AB6B96" w:rsidRDefault="00A0268D" w:rsidP="00A0268D">
      <w:pPr>
        <w:tabs>
          <w:tab w:val="left" w:pos="2955"/>
        </w:tabs>
        <w:spacing w:line="276" w:lineRule="auto"/>
        <w:jc w:val="both"/>
        <w:rPr>
          <w:rFonts w:ascii="Arial" w:hAnsi="Arial" w:cs="Arial"/>
          <w:b/>
          <w:bCs/>
          <w:color w:val="000000"/>
          <w:shd w:val="clear" w:color="auto" w:fill="FFFFFF"/>
          <w:lang w:val="mn-MN"/>
        </w:rPr>
      </w:pPr>
    </w:p>
    <w:p w:rsidR="00A0268D" w:rsidRPr="00AB6B96" w:rsidRDefault="00A0268D" w:rsidP="00A0268D">
      <w:pPr>
        <w:pStyle w:val="NormalWeb"/>
        <w:spacing w:before="0" w:beforeAutospacing="0" w:after="0" w:afterAutospacing="0" w:line="276" w:lineRule="auto"/>
        <w:jc w:val="both"/>
        <w:rPr>
          <w:rFonts w:ascii="Arial" w:hAnsi="Arial" w:cs="Arial"/>
          <w:b/>
          <w:bCs/>
          <w:color w:val="000000"/>
          <w:shd w:val="clear" w:color="auto" w:fill="FFFFFF"/>
          <w:lang w:val="mn-MN"/>
        </w:rPr>
      </w:pPr>
      <w:r w:rsidRPr="00AB6B96">
        <w:rPr>
          <w:rFonts w:ascii="Arial" w:hAnsi="Arial" w:cs="Arial"/>
          <w:b/>
          <w:bCs/>
          <w:color w:val="000000"/>
          <w:shd w:val="clear" w:color="auto" w:fill="FFFFFF"/>
          <w:lang w:val="mn-MN"/>
        </w:rPr>
        <w:t>Удиртгал</w:t>
      </w:r>
    </w:p>
    <w:p w:rsidR="00A0268D" w:rsidRPr="00F33EEF" w:rsidRDefault="00A0268D" w:rsidP="00A0268D">
      <w:pPr>
        <w:pStyle w:val="NormalWeb"/>
        <w:spacing w:before="0" w:beforeAutospacing="0" w:after="0" w:afterAutospacing="0" w:line="276" w:lineRule="auto"/>
        <w:jc w:val="both"/>
        <w:rPr>
          <w:rFonts w:ascii="Arial" w:hAnsi="Arial" w:cs="Arial"/>
          <w:b/>
          <w:bCs/>
          <w:color w:val="000000"/>
          <w:shd w:val="clear" w:color="auto" w:fill="FFFFFF"/>
          <w:lang w:val="mn-MN"/>
        </w:rPr>
      </w:pPr>
      <w:r w:rsidRPr="00AB6B96">
        <w:rPr>
          <w:rFonts w:ascii="Arial" w:hAnsi="Arial" w:cs="Arial"/>
        </w:rPr>
        <w:t>Төрсний дараах цус алдалт (ТДЦА) нь дэлхий даяар эхийн эндэгдлийн гол шалтгаануудын нэг байсаар байгаа бөгөөд нийт жирэмслэлтийн 1–3 хувьд тохиолдож байна¹. ТДЦА нь ялангуяа бага болон дунд орлоготой орнуудад эхийн эндэгдлийн 25–30%-ийг эзэлдэг ч өндөр хөгжилтэй орнуудад ч сүүлийн жилүүдэд өсөх хандлагатай байгаа нь анхаарал татаж байна². ТДЦА-ын шалтгааны 70–80%-ийг умайн агшилт суларлын (atonía uteri) улмаас үүссэн цус алдалт эзэлдэг³. Энэ төрлийн цус алдалт богино хугацаанд их хэмжээгээр алдагддаг бөгөөд хэрвээ цаг тухайд нь хариу арга хэмжээ авахгүй бол амь насанд аюул учруулдаг.</w:t>
      </w:r>
    </w:p>
    <w:p w:rsidR="00A0268D" w:rsidRPr="00AB6B96" w:rsidRDefault="00A0268D" w:rsidP="00A0268D">
      <w:pPr>
        <w:spacing w:line="276" w:lineRule="auto"/>
        <w:jc w:val="both"/>
        <w:rPr>
          <w:rFonts w:ascii="Arial" w:hAnsi="Arial" w:cs="Arial"/>
        </w:rPr>
      </w:pPr>
      <w:r w:rsidRPr="00AB6B96">
        <w:rPr>
          <w:rFonts w:ascii="Arial" w:hAnsi="Arial" w:cs="Arial"/>
        </w:rPr>
        <w:t>Америкийн Эх барих, эмэгтэйчүүдийн колле</w:t>
      </w:r>
      <w:r>
        <w:rPr>
          <w:rFonts w:ascii="Arial" w:hAnsi="Arial" w:cs="Arial"/>
          <w:lang w:val="mn-MN"/>
        </w:rPr>
        <w:t>ж</w:t>
      </w:r>
      <w:r w:rsidRPr="00AB6B96">
        <w:rPr>
          <w:rFonts w:ascii="Arial" w:hAnsi="Arial" w:cs="Arial"/>
        </w:rPr>
        <w:t xml:space="preserve">оос 2017 онд гаргасан тодорхойлолтоор төрөлтийн дараа 24 цагийн дотор гиповолемийн шинж тэмдгүүд илэрч, 1000 мл-ээс их хэмжээний цус алдахыг төрсний дараах цус алдалт гэж тодорхойлсон бөгөөд энэ нь эмнэлгийн тусламжийн хариу арга хэмжээний чанарт шинэ жишиг тогтоож өгсөн⁴. Цусны алдагдал 1500 мл-ээс дээш буюу нийт эргэлдэх цусны 25%-ийг давсан тохиолдолд гиповолемийн ноцтой шинж тэмдгүүд илэрч, эрхтэн тогтолцооны </w:t>
      </w:r>
      <w:r>
        <w:rPr>
          <w:rFonts w:ascii="Arial" w:hAnsi="Arial" w:cs="Arial"/>
        </w:rPr>
        <w:t>дутал</w:t>
      </w:r>
      <w:r w:rsidRPr="00AB6B96">
        <w:rPr>
          <w:rFonts w:ascii="Arial" w:hAnsi="Arial" w:cs="Arial"/>
        </w:rPr>
        <w:t>, цаашлаад нас баралт үүсэх эрсдэл эрс нэмэгддэг⁵.</w:t>
      </w:r>
    </w:p>
    <w:p w:rsidR="00A0268D" w:rsidRPr="00AB6B96" w:rsidRDefault="00A0268D" w:rsidP="00A0268D">
      <w:pPr>
        <w:spacing w:line="276" w:lineRule="auto"/>
        <w:jc w:val="both"/>
        <w:rPr>
          <w:rFonts w:ascii="Arial" w:hAnsi="Arial" w:cs="Arial"/>
        </w:rPr>
      </w:pPr>
      <w:r w:rsidRPr="00AB6B96">
        <w:rPr>
          <w:rFonts w:ascii="Arial" w:hAnsi="Arial" w:cs="Arial"/>
        </w:rPr>
        <w:t>Өндөр хөгжилтэй орнуудын хувьд ТДЦА-ын тохиолдол нэмэгдэх шалтгааныг нөхөн үржихүйн туслах технологийн хэрэглээ, кесар хагалгааны давтамжийн өсөлттэй холбон тайлбарлаж байна⁶. Эдгээр хүчин зүйлс нь эхийн насжилт нэмэгдэхийн зэрэгцээ ихэс шигдэлтийн (placenta accreta spectrum) тохиолдлын давтамжийг нэмэгдүүлж байгаа бөгөөд энэ эмгэг нь умайн хананд гүн шигдэж ургасан ихсийг гараар салгах үед амь насанд аюултай их хэмжээний цус алдалт үүсгэх нөхцөл болдог⁷. Ихэс шигдэлттэй жирэмслэлтүүд нь ихэвчлэн давтан кесар хагалгааны дараах эрсдэлтэй жирэмслэлтэд тохиолддог⁸.</w:t>
      </w:r>
    </w:p>
    <w:p w:rsidR="00A0268D" w:rsidRPr="00AB6B96" w:rsidRDefault="00A0268D" w:rsidP="00A0268D">
      <w:pPr>
        <w:spacing w:line="276" w:lineRule="auto"/>
        <w:jc w:val="both"/>
        <w:rPr>
          <w:rFonts w:ascii="Arial" w:hAnsi="Arial" w:cs="Arial"/>
        </w:rPr>
      </w:pPr>
      <w:r w:rsidRPr="00AB6B96">
        <w:rPr>
          <w:rFonts w:ascii="Arial" w:hAnsi="Arial" w:cs="Arial"/>
        </w:rPr>
        <w:t>Тиймээс төрсний дараах цус алдалтыг бууруулахын тулд эмнэл зүйн бэлэн байдал, төрөх үеийн менежментийг боловсронгуй болгох шаардлагатай. Эх барих</w:t>
      </w:r>
      <w:r>
        <w:rPr>
          <w:rFonts w:ascii="Arial" w:hAnsi="Arial" w:cs="Arial"/>
          <w:lang w:val="mn-MN"/>
        </w:rPr>
        <w:t xml:space="preserve">, эмэгтэйчүүдийн </w:t>
      </w:r>
      <w:r w:rsidRPr="00AB6B96">
        <w:rPr>
          <w:rFonts w:ascii="Arial" w:hAnsi="Arial" w:cs="Arial"/>
        </w:rPr>
        <w:t xml:space="preserve">эмч, сувилагчид, яаралтай тусламжийн баг зэрэг </w:t>
      </w:r>
      <w:r w:rsidRPr="00AB6B96">
        <w:rPr>
          <w:rFonts w:ascii="Arial" w:hAnsi="Arial" w:cs="Arial"/>
        </w:rPr>
        <w:lastRenderedPageBreak/>
        <w:t>мэргэжилтнүүдийн хамтарсан протоколд суурилсан шуурхай хариу арга хэмжээ, их хэмжээний цус алдалтыг анхааруулан илрүүлэх сургалтууд үр дүнтэй болохыг олон улсын судалгаанууд харуулсан⁹. Мөн эрт үеийн эрсдэлийн үнэлгээ, жирэмсний хяналтын үеийн оношилгооны чанар, төрөх тасгийн логистик бэлэн байдал, цусны сэлбэлтийн нөөц хангалттай байх нь эхийн амь насыг аврах чухал нөхцөл болж байна¹⁰.</w:t>
      </w:r>
    </w:p>
    <w:p w:rsidR="00A0268D" w:rsidRPr="00AB6B96" w:rsidRDefault="00A0268D" w:rsidP="00A0268D">
      <w:pPr>
        <w:spacing w:line="276" w:lineRule="auto"/>
        <w:jc w:val="both"/>
        <w:rPr>
          <w:rFonts w:ascii="Arial" w:hAnsi="Arial" w:cs="Arial"/>
        </w:rPr>
      </w:pPr>
    </w:p>
    <w:p w:rsidR="00A0268D" w:rsidRPr="00AB6B96" w:rsidRDefault="00A0268D" w:rsidP="00A0268D">
      <w:pPr>
        <w:tabs>
          <w:tab w:val="left" w:pos="2955"/>
        </w:tabs>
        <w:spacing w:line="276" w:lineRule="auto"/>
        <w:jc w:val="both"/>
        <w:rPr>
          <w:rFonts w:ascii="Arial" w:hAnsi="Arial" w:cs="Arial"/>
          <w:b/>
          <w:bCs/>
          <w:color w:val="1F1F1F"/>
        </w:rPr>
      </w:pPr>
      <w:r w:rsidRPr="00AB6B96">
        <w:rPr>
          <w:rFonts w:ascii="Arial" w:hAnsi="Arial" w:cs="Arial"/>
          <w:b/>
          <w:bCs/>
          <w:color w:val="1F1F1F"/>
          <w:lang w:val="mn-MN"/>
        </w:rPr>
        <w:t>Зорилго</w:t>
      </w:r>
    </w:p>
    <w:p w:rsidR="00A0268D" w:rsidRPr="00AB6B96" w:rsidRDefault="00A0268D" w:rsidP="00A0268D">
      <w:pPr>
        <w:tabs>
          <w:tab w:val="left" w:pos="2955"/>
        </w:tabs>
        <w:spacing w:line="276" w:lineRule="auto"/>
        <w:jc w:val="both"/>
        <w:rPr>
          <w:rFonts w:ascii="Arial" w:hAnsi="Arial" w:cs="Arial"/>
          <w:color w:val="1F1F1F"/>
          <w:lang w:val="mn-MN"/>
        </w:rPr>
      </w:pPr>
      <w:r w:rsidRPr="00AB6B96">
        <w:rPr>
          <w:rFonts w:ascii="Arial" w:hAnsi="Arial" w:cs="Arial"/>
          <w:color w:val="1F1F1F"/>
          <w:lang w:val="mn-MN"/>
        </w:rPr>
        <w:t>Төрсний дараах эрт үеийн хүнд хэлбэрийн цус алдалтын эрсдэлт хүчин зүйлсийг судлах</w:t>
      </w:r>
    </w:p>
    <w:p w:rsidR="00A0268D" w:rsidRPr="00AB6B96" w:rsidRDefault="00A0268D" w:rsidP="00A0268D">
      <w:pPr>
        <w:tabs>
          <w:tab w:val="left" w:pos="2955"/>
        </w:tabs>
        <w:spacing w:before="240" w:line="276" w:lineRule="auto"/>
        <w:jc w:val="both"/>
        <w:rPr>
          <w:rFonts w:ascii="Arial" w:hAnsi="Arial" w:cs="Arial"/>
          <w:b/>
          <w:bCs/>
          <w:color w:val="1F1F1F"/>
          <w:lang w:val="mn-MN"/>
        </w:rPr>
      </w:pPr>
      <w:r w:rsidRPr="00AB6B96">
        <w:rPr>
          <w:rFonts w:ascii="Arial" w:hAnsi="Arial" w:cs="Arial"/>
          <w:b/>
          <w:bCs/>
          <w:color w:val="1F1F1F"/>
          <w:lang w:val="mn-MN"/>
        </w:rPr>
        <w:t>Материал, арга зүй</w:t>
      </w:r>
    </w:p>
    <w:p w:rsidR="00A0268D" w:rsidRDefault="00A0268D" w:rsidP="00A0268D">
      <w:pPr>
        <w:spacing w:after="100" w:afterAutospacing="1" w:line="276" w:lineRule="auto"/>
        <w:jc w:val="both"/>
        <w:rPr>
          <w:rFonts w:ascii="Arial" w:hAnsi="Arial" w:cs="Arial"/>
        </w:rPr>
      </w:pPr>
      <w:r w:rsidRPr="00AB6B96">
        <w:rPr>
          <w:rFonts w:ascii="Arial" w:hAnsi="Arial" w:cs="Arial"/>
        </w:rPr>
        <w:t>Энэхүү судалгааг ретроспектив, тохиолдол-хяналтын судалгааны загварын дагуу гүйцэтгэсэн. Судалгааны эх олонлог нь 2024 оны 1 дүгээр сарын 1-нээс 8 дугаар сарын 1-ний хооронд Эх хүүхдийн эрүүл мэндийн үндэсний төвийн Эх барих, эмэгтэйчүүдийн эмнэлэгт амаржиж, төрсний дараах цус алдалт гэж оношлогдсон эмэгтэйчүүд байв. Судалгаанд нийт 98 эмэгтэй хамрагдсан бөгөөд тэднийг төрсний дараах эрт үед (төрснөөс хойших 24 цагийн дотор) алдсан цусны хэмжээнд үндэслэн хоёр бүлэгт хуваасан.</w:t>
      </w:r>
      <w:r>
        <w:rPr>
          <w:rFonts w:ascii="Arial" w:hAnsi="Arial" w:cs="Arial"/>
        </w:rPr>
        <w:t xml:space="preserve"> </w:t>
      </w:r>
      <w:r w:rsidRPr="00AB6B96">
        <w:rPr>
          <w:rFonts w:ascii="Arial" w:hAnsi="Arial" w:cs="Arial"/>
        </w:rPr>
        <w:t xml:space="preserve">Тодруулбал, </w:t>
      </w:r>
      <w:r w:rsidRPr="00F33EEF">
        <w:rPr>
          <w:rFonts w:ascii="Arial" w:hAnsi="Arial" w:cs="Arial"/>
        </w:rPr>
        <w:t>тохиолдлын бүлэгт 1500 мл ба түүнээс дээш хэмжээний цус алдсан 26 эмэгтэй, хяналтын бүлэгт 1500 мл-ээс бага хэмжээний цус алдсан 72 эмэгтэй багтсан. Судалгаанд багтах</w:t>
      </w:r>
      <w:r w:rsidRPr="00AB6B96">
        <w:rPr>
          <w:rFonts w:ascii="Arial" w:hAnsi="Arial" w:cs="Arial"/>
        </w:rPr>
        <w:t xml:space="preserve"> шалгуурт насанд хүрсэн эмэгтэй, амьд төрөлт хийсэн, төрсний дараах цус алдалтын онош батлагдсан байх шаардлагатай байсан бол, анх төрөх үеийн мэдээлэл дутуу, нярай эндэгдэлтэй төрсөн эсвэл цус алдалтын оношийг бүрэн тогтоогоогүй тохиолдлуудыг хассан.</w:t>
      </w:r>
      <w:r>
        <w:rPr>
          <w:rFonts w:ascii="Arial" w:hAnsi="Arial" w:cs="Arial"/>
        </w:rPr>
        <w:t xml:space="preserve"> </w:t>
      </w:r>
      <w:r w:rsidRPr="00AB6B96">
        <w:rPr>
          <w:rFonts w:ascii="Arial" w:hAnsi="Arial" w:cs="Arial"/>
        </w:rPr>
        <w:t>Өгөгдлийг эмнэлгийн архивт хадгалагдаж буй өвчтөний түүхэн мэдээлэл болон төрөх тасгийн тэмдэглэлээс цуглуулсан. Өгөгдөл цуглуулахад зориулан урьдчилан боловсруулсан 3 бүлэг, 60 асуулт бүхий асуумжийн хуудас ашигласан бөгөөд энэхүү асуумжид эхийн хүн ам зүйн үзүүлэлт, жирэмслэлт болон төрөлтийн талаарх мэдээлэл, төрсний үеийн болон төрсний дараах эмнэлзүйн үзүүлэлтүүд, хэрэглэсэн эмчилгээ, хариу арга хэмжээ зэрэг орсон.</w:t>
      </w:r>
      <w:r>
        <w:rPr>
          <w:rFonts w:ascii="Arial" w:hAnsi="Arial" w:cs="Arial"/>
        </w:rPr>
        <w:t xml:space="preserve"> </w:t>
      </w:r>
      <w:r w:rsidRPr="00AB6B96">
        <w:rPr>
          <w:rFonts w:ascii="Arial" w:hAnsi="Arial" w:cs="Arial"/>
        </w:rPr>
        <w:t xml:space="preserve">Судалгааны мэдээллийг Microsoft Excel программд оруулан цэгцэлж, улмаар IBM SPSS Statistics 26 хувилбарыг ашиглан статистик боловсруулалтыг хийсэн. Шинж тэмдгийн тархалтыг хувиар илэрхийлж, бүлгүүдийн хоорондын ялгааг шинжлэхэд </w:t>
      </w:r>
      <w:r>
        <w:rPr>
          <w:rFonts w:ascii="Arial" w:hAnsi="Arial" w:cs="Arial"/>
          <w:lang w:val="mn-MN"/>
        </w:rPr>
        <w:t xml:space="preserve">хи </w:t>
      </w:r>
      <w:r w:rsidRPr="00AB6B96">
        <w:rPr>
          <w:rFonts w:ascii="Arial" w:hAnsi="Arial" w:cs="Arial"/>
        </w:rPr>
        <w:t xml:space="preserve">квадрат болон </w:t>
      </w:r>
      <w:r>
        <w:rPr>
          <w:rFonts w:ascii="Arial" w:hAnsi="Arial" w:cs="Arial"/>
          <w:lang w:val="mn-MN"/>
        </w:rPr>
        <w:t>фишерийн</w:t>
      </w:r>
      <w:r w:rsidRPr="00AB6B96">
        <w:rPr>
          <w:rFonts w:ascii="Arial" w:hAnsi="Arial" w:cs="Arial"/>
        </w:rPr>
        <w:t xml:space="preserve"> </w:t>
      </w:r>
      <w:r>
        <w:rPr>
          <w:rFonts w:ascii="Arial" w:hAnsi="Arial" w:cs="Arial"/>
          <w:lang w:val="mn-MN"/>
        </w:rPr>
        <w:t>шинжилгээ</w:t>
      </w:r>
      <w:r w:rsidRPr="00AB6B96">
        <w:rPr>
          <w:rFonts w:ascii="Arial" w:hAnsi="Arial" w:cs="Arial"/>
        </w:rPr>
        <w:t xml:space="preserve"> ашигласан. Тоон өгөгдөлд </w:t>
      </w:r>
      <w:r>
        <w:rPr>
          <w:rFonts w:ascii="Arial" w:hAnsi="Arial" w:cs="Arial"/>
          <w:lang w:val="mn-MN"/>
        </w:rPr>
        <w:t xml:space="preserve">т тест </w:t>
      </w:r>
      <w:r w:rsidRPr="00AB6B96">
        <w:rPr>
          <w:rFonts w:ascii="Arial" w:hAnsi="Arial" w:cs="Arial"/>
        </w:rPr>
        <w:t xml:space="preserve">болон </w:t>
      </w:r>
      <w:r>
        <w:rPr>
          <w:rFonts w:ascii="Arial" w:hAnsi="Arial" w:cs="Arial"/>
          <w:lang w:val="mn-MN"/>
        </w:rPr>
        <w:t>Манн-Витнье Ю</w:t>
      </w:r>
      <w:r w:rsidRPr="00AB6B96">
        <w:rPr>
          <w:rFonts w:ascii="Arial" w:hAnsi="Arial" w:cs="Arial"/>
        </w:rPr>
        <w:t xml:space="preserve"> тестийг хэрэглэсэн бөгөөд p &lt; 0.05 утгыг статистикийн хувьд ач холбогдолтой гэж үзсэн.</w:t>
      </w:r>
    </w:p>
    <w:p w:rsidR="00A0268D" w:rsidRPr="00AB6B96" w:rsidRDefault="00A0268D" w:rsidP="00A0268D">
      <w:pPr>
        <w:tabs>
          <w:tab w:val="left" w:pos="2955"/>
        </w:tabs>
        <w:spacing w:line="276" w:lineRule="auto"/>
        <w:jc w:val="both"/>
        <w:rPr>
          <w:rFonts w:ascii="Arial" w:hAnsi="Arial" w:cs="Arial"/>
          <w:b/>
          <w:bCs/>
          <w:color w:val="1F1F1F"/>
          <w:lang w:val="mn-MN"/>
        </w:rPr>
      </w:pPr>
      <w:r w:rsidRPr="00AB6B96">
        <w:rPr>
          <w:rFonts w:ascii="Arial" w:hAnsi="Arial" w:cs="Arial"/>
          <w:b/>
          <w:bCs/>
          <w:color w:val="1F1F1F"/>
          <w:lang w:val="mn-MN"/>
        </w:rPr>
        <w:t>Үр дүн</w:t>
      </w:r>
    </w:p>
    <w:p w:rsidR="00A0268D" w:rsidRDefault="00A0268D" w:rsidP="00A0268D">
      <w:pPr>
        <w:tabs>
          <w:tab w:val="left" w:pos="2955"/>
        </w:tabs>
        <w:spacing w:line="276" w:lineRule="auto"/>
        <w:jc w:val="both"/>
        <w:rPr>
          <w:rFonts w:ascii="Arial" w:hAnsi="Arial" w:cs="Arial"/>
          <w:color w:val="1F1F1F"/>
          <w:lang w:val="mn-MN"/>
        </w:rPr>
      </w:pPr>
      <w:r w:rsidRPr="00AB6B96">
        <w:rPr>
          <w:rFonts w:ascii="Arial" w:hAnsi="Arial" w:cs="Arial"/>
          <w:color w:val="1F1F1F"/>
          <w:lang w:val="mn-MN"/>
        </w:rPr>
        <w:t>Судалгаанд 17-44 насны 98 эхийг хамруулсан, дундаж нас 30.2±6.7 жил байв. Тохиолдол хяналтын бүлэгт дундаж нас</w:t>
      </w:r>
      <w:r w:rsidRPr="00AB6B96">
        <w:rPr>
          <w:rFonts w:ascii="Arial" w:hAnsi="Arial" w:cs="Arial"/>
          <w:color w:val="1F1F1F"/>
        </w:rPr>
        <w:t xml:space="preserve"> (33±6.33; 29.29±6.64 </w:t>
      </w:r>
      <w:r w:rsidRPr="00AB6B96">
        <w:rPr>
          <w:rFonts w:ascii="Arial" w:hAnsi="Arial" w:cs="Arial"/>
          <w:color w:val="1F1F1F"/>
          <w:lang w:val="mn-MN"/>
        </w:rPr>
        <w:t>жил</w:t>
      </w:r>
      <w:r w:rsidRPr="00AB6B96">
        <w:rPr>
          <w:rFonts w:ascii="Arial" w:hAnsi="Arial" w:cs="Arial"/>
          <w:color w:val="1F1F1F"/>
        </w:rPr>
        <w:t xml:space="preserve">, p=0.356) </w:t>
      </w:r>
      <w:r w:rsidRPr="00AB6B96">
        <w:rPr>
          <w:rFonts w:ascii="Arial" w:hAnsi="Arial" w:cs="Arial"/>
          <w:color w:val="1F1F1F"/>
          <w:lang w:val="mn-MN"/>
        </w:rPr>
        <w:t>статистик ач холбогдол бүхий ялгаагүй, харин гэрлэлтийн байдал, анхан ба давтан төрж буй эхчүүдэд ач холбогдол бүхий ялгаатай байв</w:t>
      </w:r>
      <w:r w:rsidRPr="00AB6B96">
        <w:rPr>
          <w:rFonts w:ascii="Arial" w:hAnsi="Arial" w:cs="Arial"/>
          <w:color w:val="1F1F1F"/>
        </w:rPr>
        <w:t xml:space="preserve"> (p=0.034; p=0.004) (</w:t>
      </w:r>
      <w:r w:rsidRPr="00AB6B96">
        <w:rPr>
          <w:rFonts w:ascii="Arial" w:hAnsi="Arial" w:cs="Arial"/>
          <w:color w:val="1F1F1F"/>
          <w:lang w:val="mn-MN"/>
        </w:rPr>
        <w:t>Хүснэгт 1</w:t>
      </w:r>
      <w:r w:rsidRPr="00AB6B96">
        <w:rPr>
          <w:rFonts w:ascii="Arial" w:hAnsi="Arial" w:cs="Arial"/>
          <w:color w:val="1F1F1F"/>
        </w:rPr>
        <w:t>)</w:t>
      </w:r>
      <w:r w:rsidRPr="00AB6B96">
        <w:rPr>
          <w:rFonts w:ascii="Arial" w:hAnsi="Arial" w:cs="Arial"/>
          <w:color w:val="1F1F1F"/>
          <w:lang w:val="mn-MN"/>
        </w:rPr>
        <w:t>.</w:t>
      </w:r>
    </w:p>
    <w:p w:rsidR="00A0268D" w:rsidRDefault="00A0268D" w:rsidP="00A0268D">
      <w:pPr>
        <w:tabs>
          <w:tab w:val="left" w:pos="2955"/>
        </w:tabs>
        <w:spacing w:line="276" w:lineRule="auto"/>
        <w:jc w:val="both"/>
        <w:rPr>
          <w:rFonts w:ascii="Arial" w:hAnsi="Arial" w:cs="Arial"/>
          <w:color w:val="1F1F1F"/>
          <w:lang w:val="mn-MN"/>
        </w:rPr>
      </w:pPr>
    </w:p>
    <w:p w:rsidR="00A0268D" w:rsidRPr="00AB6B96" w:rsidRDefault="00A0268D" w:rsidP="00A0268D">
      <w:pPr>
        <w:tabs>
          <w:tab w:val="left" w:pos="2955"/>
        </w:tabs>
        <w:spacing w:line="276" w:lineRule="auto"/>
        <w:jc w:val="both"/>
        <w:rPr>
          <w:rFonts w:ascii="Arial" w:hAnsi="Arial" w:cs="Arial"/>
          <w:color w:val="1F1F1F"/>
          <w:lang w:val="mn-MN"/>
        </w:rPr>
      </w:pPr>
    </w:p>
    <w:p w:rsidR="00A0268D" w:rsidRPr="00AB6B96" w:rsidRDefault="00A0268D" w:rsidP="00A0268D">
      <w:pPr>
        <w:tabs>
          <w:tab w:val="left" w:pos="2955"/>
        </w:tabs>
        <w:spacing w:before="240" w:line="276" w:lineRule="auto"/>
        <w:jc w:val="both"/>
        <w:rPr>
          <w:rFonts w:ascii="Arial" w:hAnsi="Arial" w:cs="Arial"/>
          <w:bCs/>
          <w:color w:val="1F1F1F"/>
          <w:lang w:val="mn-MN"/>
        </w:rPr>
      </w:pPr>
      <w:r w:rsidRPr="00AB6B96">
        <w:rPr>
          <w:rFonts w:ascii="Arial" w:hAnsi="Arial" w:cs="Arial"/>
          <w:b/>
          <w:color w:val="1F1F1F"/>
          <w:lang w:val="mn-MN"/>
        </w:rPr>
        <w:t xml:space="preserve">Хүснэгт 1. </w:t>
      </w:r>
      <w:r w:rsidRPr="00AB6B96">
        <w:rPr>
          <w:rFonts w:ascii="Arial" w:hAnsi="Arial" w:cs="Arial"/>
          <w:bCs/>
          <w:color w:val="1F1F1F"/>
          <w:lang w:val="mn-MN"/>
        </w:rPr>
        <w:t>Судалгааны ерөнхий мэдээлэл, тохиолдол ба хяналтын бүлэгт</w:t>
      </w:r>
    </w:p>
    <w:tbl>
      <w:tblPr>
        <w:tblW w:w="8748" w:type="dxa"/>
        <w:tblCellMar>
          <w:left w:w="0" w:type="dxa"/>
          <w:right w:w="0" w:type="dxa"/>
        </w:tblCellMar>
        <w:tblLook w:val="0600" w:firstRow="0" w:lastRow="0" w:firstColumn="0" w:lastColumn="0" w:noHBand="1" w:noVBand="1"/>
      </w:tblPr>
      <w:tblGrid>
        <w:gridCol w:w="2297"/>
        <w:gridCol w:w="1669"/>
        <w:gridCol w:w="1671"/>
        <w:gridCol w:w="948"/>
        <w:gridCol w:w="935"/>
        <w:gridCol w:w="1228"/>
      </w:tblGrid>
      <w:tr w:rsidR="00A0268D" w:rsidRPr="00AB6B96" w:rsidTr="001D0FEA">
        <w:trPr>
          <w:trHeight w:val="274"/>
        </w:trPr>
        <w:tc>
          <w:tcPr>
            <w:tcW w:w="2297" w:type="dxa"/>
            <w:vMerge w:val="restart"/>
            <w:tcBorders>
              <w:top w:val="single" w:sz="12" w:space="0" w:color="000000"/>
              <w:left w:val="nil"/>
              <w:bottom w:val="single" w:sz="4"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b/>
                <w:bCs/>
                <w:color w:val="1F1F1F"/>
                <w:lang w:val="mn-MN"/>
              </w:rPr>
              <w:t>Үзүүлэлт</w:t>
            </w:r>
          </w:p>
        </w:tc>
        <w:tc>
          <w:tcPr>
            <w:tcW w:w="3339" w:type="dxa"/>
            <w:gridSpan w:val="2"/>
            <w:tcBorders>
              <w:top w:val="single" w:sz="12" w:space="0" w:color="000000"/>
              <w:left w:val="nil"/>
              <w:bottom w:val="single" w:sz="4" w:space="0" w:color="auto"/>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b/>
                <w:bCs/>
                <w:color w:val="1F1F1F"/>
                <w:lang w:val="mn-MN"/>
              </w:rPr>
              <w:t>Тохиолдол</w:t>
            </w:r>
          </w:p>
        </w:tc>
        <w:tc>
          <w:tcPr>
            <w:tcW w:w="1883" w:type="dxa"/>
            <w:gridSpan w:val="2"/>
            <w:tcBorders>
              <w:top w:val="single" w:sz="12" w:space="0" w:color="000000"/>
              <w:left w:val="nil"/>
              <w:bottom w:val="single" w:sz="4" w:space="0" w:color="auto"/>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b/>
                <w:bCs/>
                <w:color w:val="1F1F1F"/>
                <w:lang w:val="mn-MN"/>
              </w:rPr>
              <w:t>Хяналт</w:t>
            </w:r>
          </w:p>
        </w:tc>
        <w:tc>
          <w:tcPr>
            <w:tcW w:w="1228" w:type="dxa"/>
            <w:vMerge w:val="restart"/>
            <w:tcBorders>
              <w:top w:val="single" w:sz="12" w:space="0" w:color="000000"/>
              <w:left w:val="nil"/>
              <w:bottom w:val="single" w:sz="12"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center"/>
              <w:rPr>
                <w:rFonts w:ascii="Arial" w:hAnsi="Arial" w:cs="Arial"/>
                <w:b/>
                <w:bCs/>
                <w:color w:val="1F1F1F"/>
                <w:lang w:val="mn-MN"/>
              </w:rPr>
            </w:pPr>
            <w:r w:rsidRPr="00AB6B96">
              <w:rPr>
                <w:rFonts w:ascii="Arial" w:hAnsi="Arial" w:cs="Arial"/>
                <w:b/>
                <w:bCs/>
                <w:color w:val="1F1F1F"/>
                <w:lang w:val="mn-MN"/>
              </w:rPr>
              <w:t xml:space="preserve">р </w:t>
            </w:r>
          </w:p>
          <w:p w:rsidR="00A0268D" w:rsidRPr="00AB6B96" w:rsidRDefault="00A0268D" w:rsidP="001D0FEA">
            <w:pPr>
              <w:tabs>
                <w:tab w:val="left" w:pos="2955"/>
              </w:tabs>
              <w:spacing w:line="276" w:lineRule="auto"/>
              <w:jc w:val="center"/>
              <w:rPr>
                <w:rFonts w:ascii="Arial" w:hAnsi="Arial" w:cs="Arial"/>
                <w:color w:val="1F1F1F"/>
              </w:rPr>
            </w:pPr>
            <w:r w:rsidRPr="00AB6B96">
              <w:rPr>
                <w:rFonts w:ascii="Arial" w:hAnsi="Arial" w:cs="Arial"/>
                <w:b/>
                <w:bCs/>
                <w:color w:val="1F1F1F"/>
                <w:lang w:val="mn-MN"/>
              </w:rPr>
              <w:t>утга</w:t>
            </w:r>
          </w:p>
        </w:tc>
      </w:tr>
      <w:tr w:rsidR="00A0268D" w:rsidRPr="00AB6B96" w:rsidTr="001D0FEA">
        <w:trPr>
          <w:trHeight w:val="274"/>
        </w:trPr>
        <w:tc>
          <w:tcPr>
            <w:tcW w:w="0" w:type="auto"/>
            <w:vMerge/>
            <w:tcBorders>
              <w:top w:val="single" w:sz="12" w:space="0" w:color="000000"/>
              <w:left w:val="nil"/>
              <w:bottom w:val="single" w:sz="4" w:space="0" w:color="000000"/>
              <w:right w:val="nil"/>
            </w:tcBorders>
            <w:vAlign w:val="center"/>
            <w:hideMark/>
          </w:tcPr>
          <w:p w:rsidR="00A0268D" w:rsidRPr="00AB6B96" w:rsidRDefault="00A0268D" w:rsidP="001D0FEA">
            <w:pPr>
              <w:tabs>
                <w:tab w:val="left" w:pos="2955"/>
              </w:tabs>
              <w:spacing w:line="276" w:lineRule="auto"/>
              <w:jc w:val="both"/>
              <w:rPr>
                <w:rFonts w:ascii="Arial" w:hAnsi="Arial" w:cs="Arial"/>
                <w:color w:val="1F1F1F"/>
              </w:rPr>
            </w:pPr>
          </w:p>
        </w:tc>
        <w:tc>
          <w:tcPr>
            <w:tcW w:w="1669" w:type="dxa"/>
            <w:tcBorders>
              <w:top w:val="single" w:sz="4" w:space="0" w:color="auto"/>
              <w:left w:val="nil"/>
              <w:bottom w:val="single" w:sz="12"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b/>
                <w:bCs/>
                <w:color w:val="1F1F1F"/>
                <w:lang w:val="mn-MN"/>
              </w:rPr>
              <w:t>Тоо</w:t>
            </w:r>
          </w:p>
        </w:tc>
        <w:tc>
          <w:tcPr>
            <w:tcW w:w="1669" w:type="dxa"/>
            <w:tcBorders>
              <w:top w:val="single" w:sz="4" w:space="0" w:color="auto"/>
              <w:left w:val="nil"/>
              <w:bottom w:val="single" w:sz="12"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b/>
                <w:bCs/>
                <w:color w:val="1F1F1F"/>
                <w:lang w:val="mn-MN"/>
              </w:rPr>
              <w:t>Хувь</w:t>
            </w:r>
          </w:p>
        </w:tc>
        <w:tc>
          <w:tcPr>
            <w:tcW w:w="948" w:type="dxa"/>
            <w:tcBorders>
              <w:top w:val="single" w:sz="4" w:space="0" w:color="auto"/>
              <w:left w:val="nil"/>
              <w:bottom w:val="single" w:sz="12"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b/>
                <w:bCs/>
                <w:color w:val="1F1F1F"/>
                <w:lang w:val="mn-MN"/>
              </w:rPr>
              <w:t>Тоо</w:t>
            </w:r>
          </w:p>
        </w:tc>
        <w:tc>
          <w:tcPr>
            <w:tcW w:w="935" w:type="dxa"/>
            <w:tcBorders>
              <w:top w:val="single" w:sz="4" w:space="0" w:color="auto"/>
              <w:left w:val="nil"/>
              <w:bottom w:val="single" w:sz="12"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b/>
                <w:bCs/>
                <w:color w:val="1F1F1F"/>
                <w:lang w:val="mn-MN"/>
              </w:rPr>
              <w:t>Хувь</w:t>
            </w:r>
          </w:p>
        </w:tc>
        <w:tc>
          <w:tcPr>
            <w:tcW w:w="0" w:type="auto"/>
            <w:vMerge/>
            <w:tcBorders>
              <w:top w:val="single" w:sz="12" w:space="0" w:color="000000"/>
              <w:left w:val="nil"/>
              <w:bottom w:val="single" w:sz="12" w:space="0" w:color="000000"/>
              <w:right w:val="nil"/>
            </w:tcBorders>
            <w:vAlign w:val="center"/>
            <w:hideMark/>
          </w:tcPr>
          <w:p w:rsidR="00A0268D" w:rsidRPr="00AB6B96" w:rsidRDefault="00A0268D" w:rsidP="001D0FEA">
            <w:pPr>
              <w:tabs>
                <w:tab w:val="left" w:pos="2955"/>
              </w:tabs>
              <w:spacing w:line="276" w:lineRule="auto"/>
              <w:jc w:val="both"/>
              <w:rPr>
                <w:rFonts w:ascii="Arial" w:hAnsi="Arial" w:cs="Arial"/>
                <w:color w:val="1F1F1F"/>
              </w:rPr>
            </w:pPr>
          </w:p>
        </w:tc>
      </w:tr>
      <w:tr w:rsidR="00A0268D" w:rsidRPr="00AB6B96" w:rsidTr="001D0FEA">
        <w:trPr>
          <w:trHeight w:val="454"/>
        </w:trPr>
        <w:tc>
          <w:tcPr>
            <w:tcW w:w="2297" w:type="dxa"/>
            <w:tcBorders>
              <w:top w:val="single" w:sz="4" w:space="0" w:color="000000"/>
              <w:left w:val="nil"/>
              <w:bottom w:val="single" w:sz="8"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b/>
                <w:bCs/>
                <w:color w:val="1F1F1F"/>
                <w:lang w:val="mn-MN"/>
              </w:rPr>
              <w:t>Нас</w:t>
            </w:r>
          </w:p>
        </w:tc>
        <w:tc>
          <w:tcPr>
            <w:tcW w:w="3339" w:type="dxa"/>
            <w:gridSpan w:val="2"/>
            <w:tcBorders>
              <w:top w:val="single" w:sz="12" w:space="0" w:color="000000"/>
              <w:left w:val="nil"/>
              <w:bottom w:val="single" w:sz="8"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33±6.33</w:t>
            </w:r>
          </w:p>
        </w:tc>
        <w:tc>
          <w:tcPr>
            <w:tcW w:w="1883" w:type="dxa"/>
            <w:gridSpan w:val="2"/>
            <w:tcBorders>
              <w:top w:val="single" w:sz="12" w:space="0" w:color="000000"/>
              <w:left w:val="nil"/>
              <w:bottom w:val="single" w:sz="8"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29.29±6.64</w:t>
            </w:r>
          </w:p>
        </w:tc>
        <w:tc>
          <w:tcPr>
            <w:tcW w:w="1228" w:type="dxa"/>
            <w:tcBorders>
              <w:top w:val="single" w:sz="12" w:space="0" w:color="000000"/>
              <w:left w:val="nil"/>
              <w:bottom w:val="single" w:sz="8"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0.356</w:t>
            </w:r>
          </w:p>
        </w:tc>
      </w:tr>
      <w:tr w:rsidR="00A0268D" w:rsidRPr="00AB6B96" w:rsidTr="001D0FEA">
        <w:trPr>
          <w:trHeight w:val="255"/>
        </w:trPr>
        <w:tc>
          <w:tcPr>
            <w:tcW w:w="7520" w:type="dxa"/>
            <w:gridSpan w:val="5"/>
            <w:tcBorders>
              <w:top w:val="single" w:sz="8" w:space="0" w:color="000000"/>
              <w:left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b/>
                <w:bCs/>
                <w:color w:val="1F1F1F"/>
                <w:lang w:val="mn-MN"/>
              </w:rPr>
              <w:t>Боловсролын байдал</w:t>
            </w:r>
          </w:p>
        </w:tc>
        <w:tc>
          <w:tcPr>
            <w:tcW w:w="1228" w:type="dxa"/>
            <w:tcBorders>
              <w:top w:val="single" w:sz="8" w:space="0" w:color="000000"/>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0.069</w:t>
            </w:r>
          </w:p>
        </w:tc>
      </w:tr>
      <w:tr w:rsidR="00A0268D" w:rsidRPr="00AB6B96" w:rsidTr="001D0FEA">
        <w:trPr>
          <w:trHeight w:val="266"/>
        </w:trPr>
        <w:tc>
          <w:tcPr>
            <w:tcW w:w="2297" w:type="dxa"/>
            <w:tcBorders>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lang w:val="mn-MN"/>
              </w:rPr>
              <w:t>Дээд</w:t>
            </w:r>
          </w:p>
        </w:tc>
        <w:tc>
          <w:tcPr>
            <w:tcW w:w="1669" w:type="dxa"/>
            <w:tcBorders>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13</w:t>
            </w:r>
          </w:p>
        </w:tc>
        <w:tc>
          <w:tcPr>
            <w:tcW w:w="1669" w:type="dxa"/>
            <w:tcBorders>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50</w:t>
            </w:r>
          </w:p>
        </w:tc>
        <w:tc>
          <w:tcPr>
            <w:tcW w:w="948" w:type="dxa"/>
            <w:tcBorders>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39</w:t>
            </w:r>
          </w:p>
        </w:tc>
        <w:tc>
          <w:tcPr>
            <w:tcW w:w="935" w:type="dxa"/>
            <w:tcBorders>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54.2</w:t>
            </w:r>
          </w:p>
        </w:tc>
        <w:tc>
          <w:tcPr>
            <w:tcW w:w="1228" w:type="dxa"/>
            <w:tcBorders>
              <w:top w:val="nil"/>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p>
        </w:tc>
      </w:tr>
      <w:tr w:rsidR="00A0268D" w:rsidRPr="00AB6B96" w:rsidTr="001D0FEA">
        <w:trPr>
          <w:trHeight w:val="266"/>
        </w:trPr>
        <w:tc>
          <w:tcPr>
            <w:tcW w:w="2297" w:type="dxa"/>
            <w:tcBorders>
              <w:top w:val="nil"/>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lang w:val="mn-MN"/>
              </w:rPr>
              <w:t>Бүрэн дунд</w:t>
            </w:r>
          </w:p>
        </w:tc>
        <w:tc>
          <w:tcPr>
            <w:tcW w:w="1669" w:type="dxa"/>
            <w:tcBorders>
              <w:top w:val="nil"/>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9</w:t>
            </w:r>
          </w:p>
        </w:tc>
        <w:tc>
          <w:tcPr>
            <w:tcW w:w="1669" w:type="dxa"/>
            <w:tcBorders>
              <w:top w:val="nil"/>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34.6</w:t>
            </w:r>
          </w:p>
        </w:tc>
        <w:tc>
          <w:tcPr>
            <w:tcW w:w="948" w:type="dxa"/>
            <w:tcBorders>
              <w:top w:val="nil"/>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31</w:t>
            </w:r>
          </w:p>
        </w:tc>
        <w:tc>
          <w:tcPr>
            <w:tcW w:w="935" w:type="dxa"/>
            <w:tcBorders>
              <w:top w:val="nil"/>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43.1</w:t>
            </w:r>
          </w:p>
        </w:tc>
        <w:tc>
          <w:tcPr>
            <w:tcW w:w="1228" w:type="dxa"/>
            <w:tcBorders>
              <w:top w:val="nil"/>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p>
        </w:tc>
      </w:tr>
      <w:tr w:rsidR="00A0268D" w:rsidRPr="00AB6B96" w:rsidTr="001D0FEA">
        <w:trPr>
          <w:trHeight w:val="266"/>
        </w:trPr>
        <w:tc>
          <w:tcPr>
            <w:tcW w:w="2297" w:type="dxa"/>
            <w:tcBorders>
              <w:top w:val="nil"/>
              <w:left w:val="nil"/>
              <w:bottom w:val="single" w:sz="8"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lang w:val="mn-MN"/>
              </w:rPr>
              <w:t>Боловсролгүй</w:t>
            </w:r>
          </w:p>
        </w:tc>
        <w:tc>
          <w:tcPr>
            <w:tcW w:w="1669" w:type="dxa"/>
            <w:tcBorders>
              <w:top w:val="nil"/>
              <w:left w:val="nil"/>
              <w:bottom w:val="single" w:sz="8"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4</w:t>
            </w:r>
          </w:p>
        </w:tc>
        <w:tc>
          <w:tcPr>
            <w:tcW w:w="1669" w:type="dxa"/>
            <w:tcBorders>
              <w:top w:val="nil"/>
              <w:left w:val="nil"/>
              <w:bottom w:val="single" w:sz="8"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15.4</w:t>
            </w:r>
          </w:p>
        </w:tc>
        <w:tc>
          <w:tcPr>
            <w:tcW w:w="948" w:type="dxa"/>
            <w:tcBorders>
              <w:top w:val="nil"/>
              <w:left w:val="nil"/>
              <w:bottom w:val="single" w:sz="8"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2</w:t>
            </w:r>
          </w:p>
        </w:tc>
        <w:tc>
          <w:tcPr>
            <w:tcW w:w="935" w:type="dxa"/>
            <w:tcBorders>
              <w:top w:val="nil"/>
              <w:left w:val="nil"/>
              <w:bottom w:val="single" w:sz="8"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2.8</w:t>
            </w:r>
          </w:p>
        </w:tc>
        <w:tc>
          <w:tcPr>
            <w:tcW w:w="1228" w:type="dxa"/>
            <w:tcBorders>
              <w:top w:val="nil"/>
              <w:left w:val="nil"/>
              <w:bottom w:val="single" w:sz="8"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p>
        </w:tc>
      </w:tr>
      <w:tr w:rsidR="00A0268D" w:rsidRPr="00AB6B96" w:rsidTr="001D0FEA">
        <w:trPr>
          <w:trHeight w:val="355"/>
        </w:trPr>
        <w:tc>
          <w:tcPr>
            <w:tcW w:w="7520" w:type="dxa"/>
            <w:gridSpan w:val="5"/>
            <w:tcBorders>
              <w:top w:val="single" w:sz="8" w:space="0" w:color="000000"/>
              <w:left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b/>
                <w:bCs/>
                <w:color w:val="1F1F1F"/>
                <w:lang w:val="mn-MN"/>
              </w:rPr>
              <w:t>Гэрлэлтийн байдал</w:t>
            </w:r>
          </w:p>
        </w:tc>
        <w:tc>
          <w:tcPr>
            <w:tcW w:w="1228" w:type="dxa"/>
            <w:tcBorders>
              <w:top w:val="single" w:sz="8" w:space="0" w:color="000000"/>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0.034</w:t>
            </w:r>
          </w:p>
        </w:tc>
      </w:tr>
      <w:tr w:rsidR="00A0268D" w:rsidRPr="00AB6B96" w:rsidTr="001D0FEA">
        <w:trPr>
          <w:trHeight w:val="266"/>
        </w:trPr>
        <w:tc>
          <w:tcPr>
            <w:tcW w:w="2297" w:type="dxa"/>
            <w:tcBorders>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lang w:val="mn-MN"/>
              </w:rPr>
              <w:t>Гэрлэсэн</w:t>
            </w:r>
          </w:p>
        </w:tc>
        <w:tc>
          <w:tcPr>
            <w:tcW w:w="1669" w:type="dxa"/>
            <w:tcBorders>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26</w:t>
            </w:r>
          </w:p>
        </w:tc>
        <w:tc>
          <w:tcPr>
            <w:tcW w:w="1669" w:type="dxa"/>
            <w:tcBorders>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100</w:t>
            </w:r>
          </w:p>
        </w:tc>
        <w:tc>
          <w:tcPr>
            <w:tcW w:w="948" w:type="dxa"/>
            <w:tcBorders>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61</w:t>
            </w:r>
          </w:p>
        </w:tc>
        <w:tc>
          <w:tcPr>
            <w:tcW w:w="935" w:type="dxa"/>
            <w:tcBorders>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84.7</w:t>
            </w:r>
          </w:p>
        </w:tc>
        <w:tc>
          <w:tcPr>
            <w:tcW w:w="1228" w:type="dxa"/>
            <w:tcBorders>
              <w:top w:val="nil"/>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p>
        </w:tc>
      </w:tr>
      <w:tr w:rsidR="00A0268D" w:rsidRPr="00AB6B96" w:rsidTr="001D0FEA">
        <w:trPr>
          <w:trHeight w:val="266"/>
        </w:trPr>
        <w:tc>
          <w:tcPr>
            <w:tcW w:w="2297" w:type="dxa"/>
            <w:tcBorders>
              <w:top w:val="nil"/>
              <w:left w:val="nil"/>
              <w:bottom w:val="single" w:sz="8"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lang w:val="mn-MN"/>
              </w:rPr>
              <w:t>Гэрлээгүй</w:t>
            </w:r>
          </w:p>
        </w:tc>
        <w:tc>
          <w:tcPr>
            <w:tcW w:w="1669" w:type="dxa"/>
            <w:tcBorders>
              <w:top w:val="nil"/>
              <w:left w:val="nil"/>
              <w:bottom w:val="single" w:sz="8"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0</w:t>
            </w:r>
          </w:p>
        </w:tc>
        <w:tc>
          <w:tcPr>
            <w:tcW w:w="1669" w:type="dxa"/>
            <w:tcBorders>
              <w:top w:val="nil"/>
              <w:left w:val="nil"/>
              <w:bottom w:val="single" w:sz="8"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0</w:t>
            </w:r>
          </w:p>
        </w:tc>
        <w:tc>
          <w:tcPr>
            <w:tcW w:w="948" w:type="dxa"/>
            <w:tcBorders>
              <w:top w:val="nil"/>
              <w:left w:val="nil"/>
              <w:bottom w:val="single" w:sz="8"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11</w:t>
            </w:r>
          </w:p>
        </w:tc>
        <w:tc>
          <w:tcPr>
            <w:tcW w:w="935" w:type="dxa"/>
            <w:tcBorders>
              <w:top w:val="nil"/>
              <w:left w:val="nil"/>
              <w:bottom w:val="single" w:sz="8"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15.3</w:t>
            </w:r>
          </w:p>
        </w:tc>
        <w:tc>
          <w:tcPr>
            <w:tcW w:w="1228" w:type="dxa"/>
            <w:tcBorders>
              <w:top w:val="nil"/>
              <w:left w:val="nil"/>
              <w:bottom w:val="single" w:sz="8" w:space="0" w:color="000000"/>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p>
        </w:tc>
      </w:tr>
      <w:tr w:rsidR="00A0268D" w:rsidRPr="00AB6B96" w:rsidTr="001D0FEA">
        <w:trPr>
          <w:trHeight w:val="54"/>
        </w:trPr>
        <w:tc>
          <w:tcPr>
            <w:tcW w:w="5637" w:type="dxa"/>
            <w:gridSpan w:val="3"/>
            <w:tcBorders>
              <w:top w:val="single" w:sz="8" w:space="0" w:color="000000"/>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b/>
                <w:bCs/>
                <w:color w:val="1F1F1F"/>
                <w:lang w:val="mn-MN"/>
              </w:rPr>
              <w:t>Төрөлтийн тоо</w:t>
            </w:r>
          </w:p>
        </w:tc>
        <w:tc>
          <w:tcPr>
            <w:tcW w:w="948" w:type="dxa"/>
            <w:tcBorders>
              <w:top w:val="single" w:sz="8" w:space="0" w:color="000000"/>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p>
        </w:tc>
        <w:tc>
          <w:tcPr>
            <w:tcW w:w="935" w:type="dxa"/>
            <w:tcBorders>
              <w:top w:val="single" w:sz="8" w:space="0" w:color="000000"/>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p>
        </w:tc>
        <w:tc>
          <w:tcPr>
            <w:tcW w:w="1228" w:type="dxa"/>
            <w:tcBorders>
              <w:top w:val="single" w:sz="8" w:space="0" w:color="000000"/>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0.0</w:t>
            </w:r>
            <w:r w:rsidRPr="00AB6B96">
              <w:rPr>
                <w:rFonts w:ascii="Arial" w:hAnsi="Arial" w:cs="Arial"/>
                <w:color w:val="1F1F1F"/>
                <w:lang w:val="mn-MN"/>
              </w:rPr>
              <w:t>0</w:t>
            </w:r>
            <w:r w:rsidRPr="00AB6B96">
              <w:rPr>
                <w:rFonts w:ascii="Arial" w:hAnsi="Arial" w:cs="Arial"/>
                <w:color w:val="1F1F1F"/>
              </w:rPr>
              <w:t>4</w:t>
            </w:r>
          </w:p>
        </w:tc>
      </w:tr>
      <w:tr w:rsidR="00A0268D" w:rsidRPr="00AB6B96" w:rsidTr="001D0FEA">
        <w:trPr>
          <w:trHeight w:val="266"/>
        </w:trPr>
        <w:tc>
          <w:tcPr>
            <w:tcW w:w="2297" w:type="dxa"/>
            <w:tcBorders>
              <w:top w:val="nil"/>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lang w:val="mn-MN"/>
              </w:rPr>
              <w:t>Анхан</w:t>
            </w:r>
          </w:p>
        </w:tc>
        <w:tc>
          <w:tcPr>
            <w:tcW w:w="1669" w:type="dxa"/>
            <w:tcBorders>
              <w:top w:val="nil"/>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7</w:t>
            </w:r>
          </w:p>
        </w:tc>
        <w:tc>
          <w:tcPr>
            <w:tcW w:w="1669" w:type="dxa"/>
            <w:tcBorders>
              <w:top w:val="nil"/>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26.9</w:t>
            </w:r>
          </w:p>
        </w:tc>
        <w:tc>
          <w:tcPr>
            <w:tcW w:w="948" w:type="dxa"/>
            <w:tcBorders>
              <w:top w:val="nil"/>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26</w:t>
            </w:r>
          </w:p>
        </w:tc>
        <w:tc>
          <w:tcPr>
            <w:tcW w:w="935" w:type="dxa"/>
            <w:tcBorders>
              <w:top w:val="nil"/>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36.1</w:t>
            </w:r>
          </w:p>
        </w:tc>
        <w:tc>
          <w:tcPr>
            <w:tcW w:w="1228" w:type="dxa"/>
            <w:tcBorders>
              <w:top w:val="nil"/>
              <w:left w:val="nil"/>
              <w:bottom w:val="nil"/>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p>
        </w:tc>
      </w:tr>
      <w:tr w:rsidR="00A0268D" w:rsidRPr="00AB6B96" w:rsidTr="001D0FEA">
        <w:trPr>
          <w:trHeight w:val="266"/>
        </w:trPr>
        <w:tc>
          <w:tcPr>
            <w:tcW w:w="2297" w:type="dxa"/>
            <w:tcBorders>
              <w:top w:val="nil"/>
              <w:left w:val="nil"/>
              <w:bottom w:val="single" w:sz="4" w:space="0" w:color="auto"/>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lang w:val="mn-MN"/>
              </w:rPr>
              <w:t>Давтан</w:t>
            </w:r>
          </w:p>
        </w:tc>
        <w:tc>
          <w:tcPr>
            <w:tcW w:w="1669" w:type="dxa"/>
            <w:tcBorders>
              <w:top w:val="nil"/>
              <w:left w:val="nil"/>
              <w:bottom w:val="single" w:sz="4" w:space="0" w:color="auto"/>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19</w:t>
            </w:r>
          </w:p>
        </w:tc>
        <w:tc>
          <w:tcPr>
            <w:tcW w:w="1669" w:type="dxa"/>
            <w:tcBorders>
              <w:top w:val="nil"/>
              <w:left w:val="nil"/>
              <w:bottom w:val="single" w:sz="4" w:space="0" w:color="auto"/>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73.1</w:t>
            </w:r>
          </w:p>
        </w:tc>
        <w:tc>
          <w:tcPr>
            <w:tcW w:w="948" w:type="dxa"/>
            <w:tcBorders>
              <w:top w:val="nil"/>
              <w:left w:val="nil"/>
              <w:bottom w:val="single" w:sz="4" w:space="0" w:color="auto"/>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46</w:t>
            </w:r>
          </w:p>
        </w:tc>
        <w:tc>
          <w:tcPr>
            <w:tcW w:w="935" w:type="dxa"/>
            <w:tcBorders>
              <w:top w:val="nil"/>
              <w:left w:val="nil"/>
              <w:bottom w:val="single" w:sz="4" w:space="0" w:color="auto"/>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r w:rsidRPr="00AB6B96">
              <w:rPr>
                <w:rFonts w:ascii="Arial" w:hAnsi="Arial" w:cs="Arial"/>
                <w:color w:val="1F1F1F"/>
              </w:rPr>
              <w:t>63.9</w:t>
            </w:r>
          </w:p>
        </w:tc>
        <w:tc>
          <w:tcPr>
            <w:tcW w:w="1228" w:type="dxa"/>
            <w:tcBorders>
              <w:top w:val="nil"/>
              <w:left w:val="nil"/>
              <w:bottom w:val="single" w:sz="4" w:space="0" w:color="auto"/>
              <w:right w:val="nil"/>
            </w:tcBorders>
            <w:shd w:val="clear" w:color="auto" w:fill="FFFFFF"/>
            <w:tcMar>
              <w:top w:w="14" w:type="dxa"/>
              <w:left w:w="14" w:type="dxa"/>
              <w:bottom w:w="0" w:type="dxa"/>
              <w:right w:w="14" w:type="dxa"/>
            </w:tcMar>
            <w:vAlign w:val="center"/>
            <w:hideMark/>
          </w:tcPr>
          <w:p w:rsidR="00A0268D" w:rsidRPr="00AB6B96" w:rsidRDefault="00A0268D" w:rsidP="001D0FEA">
            <w:pPr>
              <w:tabs>
                <w:tab w:val="left" w:pos="2955"/>
              </w:tabs>
              <w:spacing w:line="276" w:lineRule="auto"/>
              <w:jc w:val="both"/>
              <w:rPr>
                <w:rFonts w:ascii="Arial" w:hAnsi="Arial" w:cs="Arial"/>
                <w:color w:val="1F1F1F"/>
              </w:rPr>
            </w:pPr>
          </w:p>
        </w:tc>
      </w:tr>
    </w:tbl>
    <w:p w:rsidR="00A0268D" w:rsidRPr="00AB6B96" w:rsidRDefault="00A0268D" w:rsidP="00A0268D">
      <w:pPr>
        <w:tabs>
          <w:tab w:val="left" w:pos="2955"/>
        </w:tabs>
        <w:spacing w:before="240" w:line="360" w:lineRule="auto"/>
        <w:jc w:val="both"/>
        <w:rPr>
          <w:rFonts w:ascii="Arial" w:hAnsi="Arial" w:cs="Arial"/>
          <w:color w:val="1F1F1F"/>
          <w:lang w:val="mn-MN"/>
        </w:rPr>
      </w:pPr>
      <w:r w:rsidRPr="00AB6B96">
        <w:rPr>
          <w:rFonts w:ascii="Arial" w:hAnsi="Arial" w:cs="Arial"/>
          <w:color w:val="1F1F1F"/>
          <w:lang w:val="mn-MN"/>
        </w:rPr>
        <w:t xml:space="preserve">Төрсний дараах эрт үед их хэмжээний цус алдах эрсдлийг Манас Таталтын Урьдал, 1.9 </w:t>
      </w:r>
      <w:r w:rsidRPr="00AB6B96">
        <w:rPr>
          <w:rFonts w:ascii="Arial" w:hAnsi="Arial" w:cs="Arial"/>
          <w:color w:val="1F1F1F"/>
        </w:rPr>
        <w:t xml:space="preserve">(OR: 1.99; 0.71-5.57), </w:t>
      </w:r>
      <w:r w:rsidRPr="00AB6B96">
        <w:rPr>
          <w:rFonts w:ascii="Arial" w:hAnsi="Arial" w:cs="Arial"/>
          <w:color w:val="1F1F1F"/>
          <w:lang w:val="mn-MN"/>
        </w:rPr>
        <w:t>зүрх судасны эмгэг 11.2</w:t>
      </w:r>
      <w:r w:rsidRPr="00AB6B96">
        <w:rPr>
          <w:rFonts w:ascii="Arial" w:hAnsi="Arial" w:cs="Arial"/>
          <w:color w:val="1F1F1F"/>
        </w:rPr>
        <w:t xml:space="preserve">(OR=11.2; 1.1-18.5), </w:t>
      </w:r>
      <w:r w:rsidRPr="00AB6B96">
        <w:rPr>
          <w:rFonts w:ascii="Arial" w:hAnsi="Arial" w:cs="Arial"/>
          <w:color w:val="1F1F1F"/>
          <w:lang w:val="mn-MN"/>
        </w:rPr>
        <w:t xml:space="preserve">Ихэс түрүүлэлт, шигдэлттэй </w:t>
      </w:r>
      <w:r w:rsidRPr="00AB6B96">
        <w:rPr>
          <w:rFonts w:ascii="Arial" w:hAnsi="Arial" w:cs="Arial"/>
          <w:color w:val="1F1F1F"/>
        </w:rPr>
        <w:t>6.5(OR=</w:t>
      </w:r>
      <w:r w:rsidRPr="00AB6B96">
        <w:rPr>
          <w:rFonts w:ascii="Arial" w:hAnsi="Arial" w:cs="Arial"/>
          <w:color w:val="1F1F1F"/>
          <w:lang w:val="mn-MN"/>
        </w:rPr>
        <w:t>6.5</w:t>
      </w:r>
      <w:r w:rsidRPr="00AB6B96">
        <w:rPr>
          <w:rFonts w:ascii="Arial" w:hAnsi="Arial" w:cs="Arial"/>
          <w:color w:val="1F1F1F"/>
        </w:rPr>
        <w:t xml:space="preserve">; </w:t>
      </w:r>
      <w:r w:rsidRPr="00AB6B96">
        <w:rPr>
          <w:rFonts w:ascii="Arial" w:hAnsi="Arial" w:cs="Arial"/>
          <w:color w:val="1F1F1F"/>
          <w:lang w:val="mn-MN"/>
        </w:rPr>
        <w:t>2</w:t>
      </w:r>
      <w:r w:rsidRPr="00AB6B96">
        <w:rPr>
          <w:rFonts w:ascii="Arial" w:hAnsi="Arial" w:cs="Arial"/>
          <w:color w:val="1F1F1F"/>
        </w:rPr>
        <w:t>.</w:t>
      </w:r>
      <w:r w:rsidRPr="00AB6B96">
        <w:rPr>
          <w:rFonts w:ascii="Arial" w:hAnsi="Arial" w:cs="Arial"/>
          <w:color w:val="1F1F1F"/>
          <w:lang w:val="mn-MN"/>
        </w:rPr>
        <w:t>0</w:t>
      </w:r>
      <w:r w:rsidRPr="00AB6B96">
        <w:rPr>
          <w:rFonts w:ascii="Arial" w:hAnsi="Arial" w:cs="Arial"/>
          <w:color w:val="1F1F1F"/>
        </w:rPr>
        <w:t>1-</w:t>
      </w:r>
      <w:r w:rsidRPr="00AB6B96">
        <w:rPr>
          <w:rFonts w:ascii="Arial" w:hAnsi="Arial" w:cs="Arial"/>
          <w:color w:val="1F1F1F"/>
          <w:lang w:val="mn-MN"/>
        </w:rPr>
        <w:t>21</w:t>
      </w:r>
      <w:r w:rsidRPr="00AB6B96">
        <w:rPr>
          <w:rFonts w:ascii="Arial" w:hAnsi="Arial" w:cs="Arial"/>
          <w:color w:val="1F1F1F"/>
        </w:rPr>
        <w:t>.</w:t>
      </w:r>
      <w:r w:rsidRPr="00AB6B96">
        <w:rPr>
          <w:rFonts w:ascii="Arial" w:hAnsi="Arial" w:cs="Arial"/>
          <w:color w:val="1F1F1F"/>
          <w:lang w:val="mn-MN"/>
        </w:rPr>
        <w:t>1</w:t>
      </w:r>
      <w:r w:rsidRPr="00AB6B96">
        <w:rPr>
          <w:rFonts w:ascii="Arial" w:hAnsi="Arial" w:cs="Arial"/>
          <w:color w:val="1F1F1F"/>
        </w:rPr>
        <w:t>)</w:t>
      </w:r>
      <w:r w:rsidRPr="00AB6B96">
        <w:rPr>
          <w:rFonts w:ascii="Arial" w:hAnsi="Arial" w:cs="Arial"/>
          <w:color w:val="1F1F1F"/>
          <w:lang w:val="mn-MN"/>
        </w:rPr>
        <w:t>, жирэмсэн үеийн цус багадалт 8.05</w:t>
      </w:r>
      <w:r w:rsidRPr="00AB6B96">
        <w:rPr>
          <w:rFonts w:ascii="Arial" w:hAnsi="Arial" w:cs="Arial"/>
          <w:color w:val="1F1F1F"/>
        </w:rPr>
        <w:t xml:space="preserve">(OR=8.5; 1.08-12.5) </w:t>
      </w:r>
      <w:r w:rsidRPr="00AB6B96">
        <w:rPr>
          <w:rFonts w:ascii="Arial" w:hAnsi="Arial" w:cs="Arial"/>
          <w:color w:val="1F1F1F"/>
          <w:lang w:val="mn-MN"/>
        </w:rPr>
        <w:t>нэмэгдүүлж байна</w:t>
      </w:r>
      <w:r>
        <w:rPr>
          <w:rFonts w:ascii="Arial" w:hAnsi="Arial" w:cs="Arial"/>
          <w:color w:val="1F1F1F"/>
        </w:rPr>
        <w:t xml:space="preserve"> </w:t>
      </w:r>
      <w:r w:rsidRPr="00AB6B96">
        <w:rPr>
          <w:rFonts w:ascii="Arial" w:hAnsi="Arial" w:cs="Arial"/>
          <w:color w:val="1F1F1F"/>
        </w:rPr>
        <w:t>(</w:t>
      </w:r>
      <w:r w:rsidRPr="00AB6B96">
        <w:rPr>
          <w:rFonts w:ascii="Arial" w:hAnsi="Arial" w:cs="Arial"/>
          <w:color w:val="1F1F1F"/>
          <w:lang w:val="mn-MN"/>
        </w:rPr>
        <w:t>Хүснэгт 2</w:t>
      </w:r>
      <w:r w:rsidRPr="00AB6B96">
        <w:rPr>
          <w:rFonts w:ascii="Arial" w:hAnsi="Arial" w:cs="Arial"/>
          <w:color w:val="1F1F1F"/>
        </w:rPr>
        <w:t>)</w:t>
      </w:r>
      <w:r w:rsidRPr="00AB6B96">
        <w:rPr>
          <w:rFonts w:ascii="Arial" w:hAnsi="Arial" w:cs="Arial"/>
          <w:color w:val="1F1F1F"/>
          <w:lang w:val="mn-MN"/>
        </w:rPr>
        <w:t>.</w:t>
      </w:r>
    </w:p>
    <w:p w:rsidR="00A0268D" w:rsidRPr="00AB6B96" w:rsidRDefault="00A0268D" w:rsidP="00A0268D">
      <w:pPr>
        <w:tabs>
          <w:tab w:val="left" w:pos="2955"/>
        </w:tabs>
        <w:spacing w:line="276" w:lineRule="auto"/>
        <w:jc w:val="both"/>
        <w:rPr>
          <w:rFonts w:ascii="Arial" w:hAnsi="Arial" w:cs="Arial"/>
          <w:color w:val="1F1F1F"/>
          <w:lang w:val="mn-MN"/>
        </w:rPr>
      </w:pPr>
      <w:r w:rsidRPr="00AB6B96">
        <w:rPr>
          <w:rFonts w:ascii="Arial" w:hAnsi="Arial" w:cs="Arial"/>
          <w:b/>
          <w:bCs/>
          <w:color w:val="1F1F1F"/>
          <w:lang w:val="mn-MN"/>
        </w:rPr>
        <w:t xml:space="preserve">Хүснэгт 2. </w:t>
      </w:r>
      <w:r w:rsidRPr="00AB6B96">
        <w:rPr>
          <w:rFonts w:ascii="Arial" w:hAnsi="Arial" w:cs="Arial"/>
          <w:color w:val="1F1F1F"/>
          <w:lang w:val="mn-MN"/>
        </w:rPr>
        <w:t>Төрсний дараах эрт үеийн их хэмжээний цус алдалтад нөлөөлөх хүчин зүйлсийг үнэлсэн шинжилгээний үр дүн</w:t>
      </w:r>
    </w:p>
    <w:tbl>
      <w:tblPr>
        <w:tblW w:w="8634" w:type="dxa"/>
        <w:tblLook w:val="04A0" w:firstRow="1" w:lastRow="0" w:firstColumn="1" w:lastColumn="0" w:noHBand="0" w:noVBand="1"/>
      </w:tblPr>
      <w:tblGrid>
        <w:gridCol w:w="613"/>
        <w:gridCol w:w="2887"/>
        <w:gridCol w:w="1283"/>
        <w:gridCol w:w="1280"/>
        <w:gridCol w:w="1280"/>
        <w:gridCol w:w="1291"/>
      </w:tblGrid>
      <w:tr w:rsidR="00A0268D" w:rsidRPr="00AB6B96" w:rsidTr="001D0FEA">
        <w:trPr>
          <w:trHeight w:val="261"/>
        </w:trPr>
        <w:tc>
          <w:tcPr>
            <w:tcW w:w="3500" w:type="dxa"/>
            <w:gridSpan w:val="2"/>
            <w:vMerge w:val="restart"/>
            <w:tcBorders>
              <w:top w:val="single" w:sz="8" w:space="0" w:color="000000"/>
              <w:left w:val="nil"/>
              <w:right w:val="nil"/>
            </w:tcBorders>
            <w:shd w:val="clear" w:color="000000" w:fill="FFFFFF"/>
            <w:vAlign w:val="center"/>
            <w:hideMark/>
          </w:tcPr>
          <w:p w:rsidR="00A0268D" w:rsidRPr="00AB6B96" w:rsidRDefault="00A0268D" w:rsidP="001D0FEA">
            <w:pPr>
              <w:rPr>
                <w:rFonts w:ascii="Arial" w:hAnsi="Arial" w:cs="Arial"/>
                <w:b/>
                <w:bCs/>
                <w:color w:val="000000"/>
              </w:rPr>
            </w:pPr>
            <w:r w:rsidRPr="00AB6B96">
              <w:rPr>
                <w:rFonts w:ascii="Arial" w:hAnsi="Arial" w:cs="Arial"/>
                <w:b/>
                <w:bCs/>
                <w:color w:val="000000"/>
              </w:rPr>
              <w:t> </w:t>
            </w:r>
          </w:p>
          <w:p w:rsidR="00A0268D" w:rsidRPr="00AB6B96" w:rsidRDefault="00A0268D" w:rsidP="001D0FEA">
            <w:pPr>
              <w:rPr>
                <w:rFonts w:ascii="Arial" w:hAnsi="Arial" w:cs="Arial"/>
                <w:b/>
                <w:bCs/>
                <w:color w:val="000000"/>
              </w:rPr>
            </w:pPr>
            <w:r w:rsidRPr="00AB6B96">
              <w:rPr>
                <w:rFonts w:ascii="Arial" w:hAnsi="Arial" w:cs="Arial"/>
                <w:b/>
                <w:bCs/>
                <w:color w:val="000000"/>
                <w:lang w:val="mn-MN"/>
              </w:rPr>
              <w:t>Үл хамааралт хувьсагч</w:t>
            </w:r>
          </w:p>
          <w:p w:rsidR="00A0268D" w:rsidRPr="00AB6B96" w:rsidRDefault="00A0268D" w:rsidP="001D0FEA">
            <w:pPr>
              <w:jc w:val="center"/>
              <w:rPr>
                <w:rFonts w:ascii="Arial" w:hAnsi="Arial" w:cs="Arial"/>
                <w:b/>
                <w:bCs/>
                <w:color w:val="000000"/>
              </w:rPr>
            </w:pPr>
            <w:r w:rsidRPr="00AB6B96">
              <w:rPr>
                <w:rFonts w:ascii="Arial" w:hAnsi="Arial" w:cs="Arial"/>
                <w:b/>
                <w:bCs/>
                <w:color w:val="000000"/>
              </w:rPr>
              <w:t> </w:t>
            </w:r>
          </w:p>
        </w:tc>
        <w:tc>
          <w:tcPr>
            <w:tcW w:w="1283" w:type="dxa"/>
            <w:vMerge w:val="restart"/>
            <w:tcBorders>
              <w:top w:val="single" w:sz="8" w:space="0" w:color="000000"/>
              <w:left w:val="nil"/>
              <w:bottom w:val="single" w:sz="8" w:space="0" w:color="000000"/>
              <w:right w:val="nil"/>
            </w:tcBorders>
            <w:shd w:val="clear" w:color="000000" w:fill="FFFFFF"/>
            <w:vAlign w:val="center"/>
            <w:hideMark/>
          </w:tcPr>
          <w:p w:rsidR="00A0268D" w:rsidRPr="00AB6B96" w:rsidRDefault="00A0268D" w:rsidP="001D0FEA">
            <w:pPr>
              <w:jc w:val="center"/>
              <w:rPr>
                <w:rFonts w:ascii="Arial" w:hAnsi="Arial" w:cs="Arial"/>
                <w:b/>
                <w:bCs/>
                <w:color w:val="000000"/>
                <w:lang w:val="mn-MN"/>
              </w:rPr>
            </w:pPr>
            <w:r w:rsidRPr="00AB6B96">
              <w:rPr>
                <w:rFonts w:ascii="Arial" w:hAnsi="Arial" w:cs="Arial"/>
                <w:b/>
                <w:bCs/>
                <w:color w:val="000000"/>
                <w:lang w:val="mn-MN"/>
              </w:rPr>
              <w:t xml:space="preserve">р </w:t>
            </w:r>
          </w:p>
          <w:p w:rsidR="00A0268D" w:rsidRPr="00AB6B96" w:rsidRDefault="00A0268D" w:rsidP="001D0FEA">
            <w:pPr>
              <w:jc w:val="center"/>
              <w:rPr>
                <w:rFonts w:ascii="Arial" w:hAnsi="Arial" w:cs="Arial"/>
                <w:b/>
                <w:bCs/>
                <w:color w:val="000000"/>
                <w:lang w:val="mn-MN"/>
              </w:rPr>
            </w:pPr>
            <w:r w:rsidRPr="00AB6B96">
              <w:rPr>
                <w:rFonts w:ascii="Arial" w:hAnsi="Arial" w:cs="Arial"/>
                <w:b/>
                <w:bCs/>
                <w:color w:val="000000"/>
                <w:lang w:val="mn-MN"/>
              </w:rPr>
              <w:t>утга</w:t>
            </w:r>
          </w:p>
        </w:tc>
        <w:tc>
          <w:tcPr>
            <w:tcW w:w="1280" w:type="dxa"/>
            <w:vMerge w:val="restart"/>
            <w:tcBorders>
              <w:top w:val="single" w:sz="8" w:space="0" w:color="000000"/>
              <w:left w:val="nil"/>
              <w:bottom w:val="single" w:sz="8" w:space="0" w:color="000000"/>
              <w:right w:val="nil"/>
            </w:tcBorders>
            <w:shd w:val="clear" w:color="000000" w:fill="FFFFFF"/>
            <w:vAlign w:val="center"/>
            <w:hideMark/>
          </w:tcPr>
          <w:p w:rsidR="00A0268D" w:rsidRPr="00AB6B96" w:rsidRDefault="00A0268D" w:rsidP="001D0FEA">
            <w:pPr>
              <w:jc w:val="center"/>
              <w:rPr>
                <w:rFonts w:ascii="Arial" w:hAnsi="Arial" w:cs="Arial"/>
                <w:b/>
                <w:bCs/>
                <w:color w:val="000000"/>
              </w:rPr>
            </w:pPr>
            <w:r w:rsidRPr="00AB6B96">
              <w:rPr>
                <w:rFonts w:ascii="Arial" w:hAnsi="Arial" w:cs="Arial"/>
                <w:b/>
                <w:bCs/>
                <w:color w:val="000000"/>
              </w:rPr>
              <w:t>OR</w:t>
            </w:r>
          </w:p>
        </w:tc>
        <w:tc>
          <w:tcPr>
            <w:tcW w:w="2571" w:type="dxa"/>
            <w:gridSpan w:val="2"/>
            <w:tcBorders>
              <w:top w:val="single" w:sz="8" w:space="0" w:color="000000"/>
              <w:left w:val="nil"/>
              <w:bottom w:val="single" w:sz="8" w:space="0" w:color="000000"/>
              <w:right w:val="nil"/>
            </w:tcBorders>
            <w:shd w:val="clear" w:color="000000" w:fill="FFFFFF"/>
            <w:vAlign w:val="center"/>
            <w:hideMark/>
          </w:tcPr>
          <w:p w:rsidR="00A0268D" w:rsidRPr="00AB6B96" w:rsidRDefault="00A0268D" w:rsidP="001D0FEA">
            <w:pPr>
              <w:jc w:val="center"/>
              <w:rPr>
                <w:rFonts w:ascii="Arial" w:hAnsi="Arial" w:cs="Arial"/>
                <w:b/>
                <w:bCs/>
                <w:color w:val="000000"/>
                <w:lang w:val="mn-MN"/>
              </w:rPr>
            </w:pPr>
            <w:r w:rsidRPr="00AB6B96">
              <w:rPr>
                <w:rFonts w:ascii="Arial" w:hAnsi="Arial" w:cs="Arial"/>
                <w:b/>
                <w:bCs/>
                <w:color w:val="000000"/>
              </w:rPr>
              <w:t xml:space="preserve">95% </w:t>
            </w:r>
            <w:r w:rsidRPr="00AB6B96">
              <w:rPr>
                <w:rFonts w:ascii="Arial" w:hAnsi="Arial" w:cs="Arial"/>
                <w:b/>
                <w:bCs/>
                <w:color w:val="000000"/>
                <w:lang w:val="mn-MN"/>
              </w:rPr>
              <w:t>ИИ</w:t>
            </w:r>
          </w:p>
        </w:tc>
      </w:tr>
      <w:tr w:rsidR="00A0268D" w:rsidRPr="00AB6B96" w:rsidTr="001D0FEA">
        <w:trPr>
          <w:trHeight w:val="270"/>
        </w:trPr>
        <w:tc>
          <w:tcPr>
            <w:tcW w:w="3500" w:type="dxa"/>
            <w:gridSpan w:val="2"/>
            <w:vMerge/>
            <w:tcBorders>
              <w:left w:val="nil"/>
              <w:bottom w:val="single" w:sz="8" w:space="0" w:color="000000"/>
              <w:right w:val="nil"/>
            </w:tcBorders>
            <w:shd w:val="clear" w:color="000000" w:fill="FFFFFF"/>
            <w:vAlign w:val="center"/>
            <w:hideMark/>
          </w:tcPr>
          <w:p w:rsidR="00A0268D" w:rsidRPr="00AB6B96" w:rsidRDefault="00A0268D" w:rsidP="001D0FEA">
            <w:pPr>
              <w:jc w:val="center"/>
              <w:rPr>
                <w:rFonts w:ascii="Arial" w:hAnsi="Arial" w:cs="Arial"/>
                <w:b/>
                <w:bCs/>
                <w:color w:val="000000"/>
              </w:rPr>
            </w:pPr>
          </w:p>
        </w:tc>
        <w:tc>
          <w:tcPr>
            <w:tcW w:w="1283" w:type="dxa"/>
            <w:vMerge/>
            <w:tcBorders>
              <w:top w:val="single" w:sz="8" w:space="0" w:color="000000"/>
              <w:left w:val="nil"/>
              <w:bottom w:val="single" w:sz="8" w:space="0" w:color="000000"/>
              <w:right w:val="nil"/>
            </w:tcBorders>
            <w:vAlign w:val="center"/>
            <w:hideMark/>
          </w:tcPr>
          <w:p w:rsidR="00A0268D" w:rsidRPr="00AB6B96" w:rsidRDefault="00A0268D" w:rsidP="001D0FEA">
            <w:pPr>
              <w:rPr>
                <w:rFonts w:ascii="Arial" w:hAnsi="Arial" w:cs="Arial"/>
                <w:b/>
                <w:bCs/>
                <w:color w:val="000000"/>
              </w:rPr>
            </w:pPr>
          </w:p>
        </w:tc>
        <w:tc>
          <w:tcPr>
            <w:tcW w:w="1280" w:type="dxa"/>
            <w:vMerge/>
            <w:tcBorders>
              <w:top w:val="single" w:sz="8" w:space="0" w:color="000000"/>
              <w:left w:val="nil"/>
              <w:bottom w:val="single" w:sz="8" w:space="0" w:color="000000"/>
              <w:right w:val="nil"/>
            </w:tcBorders>
            <w:vAlign w:val="center"/>
            <w:hideMark/>
          </w:tcPr>
          <w:p w:rsidR="00A0268D" w:rsidRPr="00AB6B96" w:rsidRDefault="00A0268D" w:rsidP="001D0FEA">
            <w:pPr>
              <w:rPr>
                <w:rFonts w:ascii="Arial" w:hAnsi="Arial" w:cs="Arial"/>
                <w:b/>
                <w:bCs/>
                <w:color w:val="000000"/>
              </w:rPr>
            </w:pPr>
          </w:p>
        </w:tc>
        <w:tc>
          <w:tcPr>
            <w:tcW w:w="1280" w:type="dxa"/>
            <w:tcBorders>
              <w:top w:val="nil"/>
              <w:left w:val="nil"/>
              <w:bottom w:val="single" w:sz="8" w:space="0" w:color="000000"/>
              <w:right w:val="nil"/>
            </w:tcBorders>
            <w:shd w:val="clear" w:color="000000" w:fill="FFFFFF"/>
            <w:vAlign w:val="center"/>
            <w:hideMark/>
          </w:tcPr>
          <w:p w:rsidR="00A0268D" w:rsidRPr="00AB6B96" w:rsidRDefault="00A0268D" w:rsidP="001D0FEA">
            <w:pPr>
              <w:jc w:val="center"/>
              <w:rPr>
                <w:rFonts w:ascii="Arial" w:hAnsi="Arial" w:cs="Arial"/>
                <w:b/>
                <w:bCs/>
                <w:color w:val="000000"/>
                <w:lang w:val="mn-MN"/>
              </w:rPr>
            </w:pPr>
            <w:r w:rsidRPr="00AB6B96">
              <w:rPr>
                <w:rFonts w:ascii="Arial" w:hAnsi="Arial" w:cs="Arial"/>
                <w:b/>
                <w:bCs/>
                <w:color w:val="000000"/>
                <w:lang w:val="mn-MN"/>
              </w:rPr>
              <w:t>Доод</w:t>
            </w:r>
          </w:p>
        </w:tc>
        <w:tc>
          <w:tcPr>
            <w:tcW w:w="1291" w:type="dxa"/>
            <w:tcBorders>
              <w:top w:val="nil"/>
              <w:left w:val="nil"/>
              <w:bottom w:val="single" w:sz="8" w:space="0" w:color="000000"/>
              <w:right w:val="nil"/>
            </w:tcBorders>
            <w:shd w:val="clear" w:color="000000" w:fill="FFFFFF"/>
            <w:vAlign w:val="center"/>
            <w:hideMark/>
          </w:tcPr>
          <w:p w:rsidR="00A0268D" w:rsidRPr="00AB6B96" w:rsidRDefault="00A0268D" w:rsidP="001D0FEA">
            <w:pPr>
              <w:jc w:val="center"/>
              <w:rPr>
                <w:rFonts w:ascii="Arial" w:hAnsi="Arial" w:cs="Arial"/>
                <w:b/>
                <w:bCs/>
                <w:color w:val="000000"/>
                <w:lang w:val="mn-MN"/>
              </w:rPr>
            </w:pPr>
            <w:r w:rsidRPr="00AB6B96">
              <w:rPr>
                <w:rFonts w:ascii="Arial" w:hAnsi="Arial" w:cs="Arial"/>
                <w:b/>
                <w:bCs/>
                <w:color w:val="000000"/>
                <w:lang w:val="mn-MN"/>
              </w:rPr>
              <w:t>Дээд</w:t>
            </w:r>
          </w:p>
        </w:tc>
      </w:tr>
      <w:tr w:rsidR="00A0268D" w:rsidRPr="00AB6B96" w:rsidTr="001D0FEA">
        <w:trPr>
          <w:trHeight w:val="51"/>
        </w:trPr>
        <w:tc>
          <w:tcPr>
            <w:tcW w:w="3500" w:type="dxa"/>
            <w:gridSpan w:val="2"/>
            <w:tcBorders>
              <w:top w:val="single" w:sz="8" w:space="0" w:color="000000"/>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Боловсрол</w:t>
            </w:r>
          </w:p>
        </w:tc>
        <w:tc>
          <w:tcPr>
            <w:tcW w:w="1283"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80"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80"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91"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r>
      <w:tr w:rsidR="00A0268D" w:rsidRPr="00AB6B96" w:rsidTr="001D0FEA">
        <w:trPr>
          <w:trHeight w:val="51"/>
        </w:trPr>
        <w:tc>
          <w:tcPr>
            <w:tcW w:w="613"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Боловсролгүй</w:t>
            </w:r>
          </w:p>
        </w:tc>
        <w:tc>
          <w:tcPr>
            <w:tcW w:w="1283"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80"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w:t>
            </w:r>
          </w:p>
        </w:tc>
        <w:tc>
          <w:tcPr>
            <w:tcW w:w="1280"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91"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r>
      <w:tr w:rsidR="00A0268D" w:rsidRPr="00AB6B96" w:rsidTr="001D0FEA">
        <w:trPr>
          <w:trHeight w:val="51"/>
        </w:trPr>
        <w:tc>
          <w:tcPr>
            <w:tcW w:w="613"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Дунд</w:t>
            </w:r>
          </w:p>
        </w:tc>
        <w:tc>
          <w:tcPr>
            <w:tcW w:w="1283" w:type="dxa"/>
            <w:tcBorders>
              <w:top w:val="nil"/>
              <w:left w:val="nil"/>
              <w:bottom w:val="nil"/>
              <w:right w:val="nil"/>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0.041</w:t>
            </w:r>
          </w:p>
        </w:tc>
        <w:tc>
          <w:tcPr>
            <w:tcW w:w="1280"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0.145</w:t>
            </w:r>
          </w:p>
        </w:tc>
        <w:tc>
          <w:tcPr>
            <w:tcW w:w="1280"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0.023</w:t>
            </w:r>
          </w:p>
        </w:tc>
        <w:tc>
          <w:tcPr>
            <w:tcW w:w="1291"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0.926</w:t>
            </w:r>
          </w:p>
        </w:tc>
      </w:tr>
      <w:tr w:rsidR="00A0268D" w:rsidRPr="00AB6B96" w:rsidTr="001D0FEA">
        <w:trPr>
          <w:trHeight w:val="51"/>
        </w:trPr>
        <w:tc>
          <w:tcPr>
            <w:tcW w:w="613" w:type="dxa"/>
            <w:tcBorders>
              <w:top w:val="nil"/>
              <w:left w:val="nil"/>
              <w:bottom w:val="single" w:sz="4" w:space="0" w:color="auto"/>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single" w:sz="4" w:space="0" w:color="auto"/>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Дээд</w:t>
            </w:r>
          </w:p>
        </w:tc>
        <w:tc>
          <w:tcPr>
            <w:tcW w:w="1283" w:type="dxa"/>
            <w:tcBorders>
              <w:top w:val="nil"/>
              <w:left w:val="nil"/>
              <w:bottom w:val="single" w:sz="4" w:space="0" w:color="auto"/>
              <w:right w:val="nil"/>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0.052</w:t>
            </w:r>
          </w:p>
        </w:tc>
        <w:tc>
          <w:tcPr>
            <w:tcW w:w="1280" w:type="dxa"/>
            <w:tcBorders>
              <w:top w:val="nil"/>
              <w:left w:val="nil"/>
              <w:bottom w:val="single" w:sz="4" w:space="0" w:color="auto"/>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0.167</w:t>
            </w:r>
          </w:p>
        </w:tc>
        <w:tc>
          <w:tcPr>
            <w:tcW w:w="1280" w:type="dxa"/>
            <w:tcBorders>
              <w:top w:val="nil"/>
              <w:left w:val="nil"/>
              <w:bottom w:val="single" w:sz="4" w:space="0" w:color="auto"/>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0.027</w:t>
            </w:r>
          </w:p>
        </w:tc>
        <w:tc>
          <w:tcPr>
            <w:tcW w:w="1291" w:type="dxa"/>
            <w:tcBorders>
              <w:top w:val="nil"/>
              <w:left w:val="nil"/>
              <w:bottom w:val="single" w:sz="4" w:space="0" w:color="auto"/>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1.018</w:t>
            </w:r>
          </w:p>
        </w:tc>
      </w:tr>
      <w:tr w:rsidR="00A0268D" w:rsidRPr="00AB6B96" w:rsidTr="001D0FEA">
        <w:trPr>
          <w:trHeight w:val="51"/>
        </w:trPr>
        <w:tc>
          <w:tcPr>
            <w:tcW w:w="3500" w:type="dxa"/>
            <w:gridSpan w:val="2"/>
            <w:tcBorders>
              <w:top w:val="single" w:sz="4" w:space="0" w:color="auto"/>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Төрөлтийн тоо</w:t>
            </w:r>
          </w:p>
        </w:tc>
        <w:tc>
          <w:tcPr>
            <w:tcW w:w="1283" w:type="dxa"/>
            <w:tcBorders>
              <w:top w:val="single" w:sz="4" w:space="0" w:color="auto"/>
              <w:left w:val="nil"/>
              <w:bottom w:val="nil"/>
              <w:right w:val="nil"/>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 </w:t>
            </w:r>
          </w:p>
        </w:tc>
        <w:tc>
          <w:tcPr>
            <w:tcW w:w="1280" w:type="dxa"/>
            <w:tcBorders>
              <w:top w:val="single" w:sz="4" w:space="0" w:color="auto"/>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80" w:type="dxa"/>
            <w:tcBorders>
              <w:top w:val="single" w:sz="4" w:space="0" w:color="auto"/>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91" w:type="dxa"/>
            <w:tcBorders>
              <w:top w:val="single" w:sz="4" w:space="0" w:color="auto"/>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r>
      <w:tr w:rsidR="00A0268D" w:rsidRPr="00AB6B96" w:rsidTr="001D0FEA">
        <w:trPr>
          <w:trHeight w:val="51"/>
        </w:trPr>
        <w:tc>
          <w:tcPr>
            <w:tcW w:w="613"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Анхан</w:t>
            </w:r>
          </w:p>
        </w:tc>
        <w:tc>
          <w:tcPr>
            <w:tcW w:w="1283" w:type="dxa"/>
            <w:tcBorders>
              <w:top w:val="nil"/>
              <w:left w:val="nil"/>
              <w:bottom w:val="nil"/>
              <w:right w:val="nil"/>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 </w:t>
            </w:r>
          </w:p>
        </w:tc>
        <w:tc>
          <w:tcPr>
            <w:tcW w:w="1280"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w:t>
            </w:r>
          </w:p>
        </w:tc>
        <w:tc>
          <w:tcPr>
            <w:tcW w:w="1280"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91"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r>
      <w:tr w:rsidR="00A0268D" w:rsidRPr="00AB6B96" w:rsidTr="001D0FEA">
        <w:trPr>
          <w:trHeight w:val="51"/>
        </w:trPr>
        <w:tc>
          <w:tcPr>
            <w:tcW w:w="613" w:type="dxa"/>
            <w:tcBorders>
              <w:top w:val="nil"/>
              <w:left w:val="nil"/>
              <w:bottom w:val="single" w:sz="4" w:space="0" w:color="auto"/>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single" w:sz="4" w:space="0" w:color="auto"/>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Давтан төрөлт</w:t>
            </w:r>
          </w:p>
        </w:tc>
        <w:tc>
          <w:tcPr>
            <w:tcW w:w="1283" w:type="dxa"/>
            <w:tcBorders>
              <w:top w:val="nil"/>
              <w:left w:val="nil"/>
              <w:bottom w:val="single" w:sz="4" w:space="0" w:color="auto"/>
              <w:right w:val="nil"/>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0.037</w:t>
            </w:r>
          </w:p>
        </w:tc>
        <w:tc>
          <w:tcPr>
            <w:tcW w:w="1280" w:type="dxa"/>
            <w:tcBorders>
              <w:top w:val="nil"/>
              <w:left w:val="nil"/>
              <w:bottom w:val="single" w:sz="4" w:space="0" w:color="auto"/>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1.534</w:t>
            </w:r>
          </w:p>
        </w:tc>
        <w:tc>
          <w:tcPr>
            <w:tcW w:w="1280" w:type="dxa"/>
            <w:tcBorders>
              <w:top w:val="nil"/>
              <w:left w:val="nil"/>
              <w:bottom w:val="single" w:sz="4" w:space="0" w:color="auto"/>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1.069</w:t>
            </w:r>
          </w:p>
        </w:tc>
        <w:tc>
          <w:tcPr>
            <w:tcW w:w="1291" w:type="dxa"/>
            <w:tcBorders>
              <w:top w:val="nil"/>
              <w:left w:val="nil"/>
              <w:bottom w:val="single" w:sz="4" w:space="0" w:color="auto"/>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4.133</w:t>
            </w:r>
          </w:p>
        </w:tc>
      </w:tr>
      <w:tr w:rsidR="00A0268D" w:rsidRPr="00AB6B96" w:rsidTr="001D0FEA">
        <w:trPr>
          <w:trHeight w:val="51"/>
        </w:trPr>
        <w:tc>
          <w:tcPr>
            <w:tcW w:w="3500" w:type="dxa"/>
            <w:gridSpan w:val="2"/>
            <w:tcBorders>
              <w:top w:val="single" w:sz="4" w:space="0" w:color="auto"/>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Ургийн тоо</w:t>
            </w:r>
          </w:p>
        </w:tc>
        <w:tc>
          <w:tcPr>
            <w:tcW w:w="1283" w:type="dxa"/>
            <w:tcBorders>
              <w:top w:val="single" w:sz="4" w:space="0" w:color="auto"/>
              <w:left w:val="nil"/>
              <w:bottom w:val="nil"/>
              <w:right w:val="nil"/>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 </w:t>
            </w:r>
          </w:p>
        </w:tc>
        <w:tc>
          <w:tcPr>
            <w:tcW w:w="1280" w:type="dxa"/>
            <w:tcBorders>
              <w:top w:val="single" w:sz="4" w:space="0" w:color="auto"/>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80" w:type="dxa"/>
            <w:tcBorders>
              <w:top w:val="single" w:sz="4" w:space="0" w:color="auto"/>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91" w:type="dxa"/>
            <w:tcBorders>
              <w:top w:val="single" w:sz="4" w:space="0" w:color="auto"/>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r>
      <w:tr w:rsidR="00A0268D" w:rsidRPr="00AB6B96" w:rsidTr="001D0FEA">
        <w:trPr>
          <w:trHeight w:val="51"/>
        </w:trPr>
        <w:tc>
          <w:tcPr>
            <w:tcW w:w="613"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Нэг</w:t>
            </w:r>
          </w:p>
        </w:tc>
        <w:tc>
          <w:tcPr>
            <w:tcW w:w="1283" w:type="dxa"/>
            <w:tcBorders>
              <w:top w:val="nil"/>
              <w:left w:val="nil"/>
              <w:bottom w:val="nil"/>
              <w:right w:val="nil"/>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 </w:t>
            </w:r>
          </w:p>
        </w:tc>
        <w:tc>
          <w:tcPr>
            <w:tcW w:w="1280"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w:t>
            </w:r>
          </w:p>
        </w:tc>
        <w:tc>
          <w:tcPr>
            <w:tcW w:w="1280"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91"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r>
      <w:tr w:rsidR="00A0268D" w:rsidRPr="00AB6B96" w:rsidTr="001D0FEA">
        <w:trPr>
          <w:trHeight w:val="51"/>
        </w:trPr>
        <w:tc>
          <w:tcPr>
            <w:tcW w:w="613" w:type="dxa"/>
            <w:tcBorders>
              <w:top w:val="nil"/>
              <w:left w:val="nil"/>
              <w:bottom w:val="single" w:sz="4" w:space="0" w:color="auto"/>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single" w:sz="4" w:space="0" w:color="auto"/>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Ихэр</w:t>
            </w:r>
            <w:r>
              <w:rPr>
                <w:rFonts w:ascii="Arial" w:hAnsi="Arial" w:cs="Arial"/>
                <w:color w:val="000000"/>
              </w:rPr>
              <w:t>(≥2)</w:t>
            </w:r>
          </w:p>
        </w:tc>
        <w:tc>
          <w:tcPr>
            <w:tcW w:w="1283" w:type="dxa"/>
            <w:tcBorders>
              <w:top w:val="nil"/>
              <w:left w:val="nil"/>
              <w:bottom w:val="single" w:sz="4" w:space="0" w:color="auto"/>
              <w:right w:val="nil"/>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0.098</w:t>
            </w:r>
          </w:p>
        </w:tc>
        <w:tc>
          <w:tcPr>
            <w:tcW w:w="1280" w:type="dxa"/>
            <w:tcBorders>
              <w:top w:val="nil"/>
              <w:left w:val="nil"/>
              <w:bottom w:val="single" w:sz="4" w:space="0" w:color="auto"/>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1.417</w:t>
            </w:r>
          </w:p>
        </w:tc>
        <w:tc>
          <w:tcPr>
            <w:tcW w:w="1280" w:type="dxa"/>
            <w:tcBorders>
              <w:top w:val="nil"/>
              <w:left w:val="nil"/>
              <w:bottom w:val="single" w:sz="4" w:space="0" w:color="auto"/>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1.244</w:t>
            </w:r>
          </w:p>
        </w:tc>
        <w:tc>
          <w:tcPr>
            <w:tcW w:w="1291" w:type="dxa"/>
            <w:tcBorders>
              <w:top w:val="nil"/>
              <w:left w:val="nil"/>
              <w:bottom w:val="single" w:sz="4" w:space="0" w:color="auto"/>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8.234</w:t>
            </w:r>
          </w:p>
        </w:tc>
      </w:tr>
      <w:tr w:rsidR="00A0268D" w:rsidRPr="00AB6B96" w:rsidTr="001D0FEA">
        <w:trPr>
          <w:trHeight w:val="51"/>
        </w:trPr>
        <w:tc>
          <w:tcPr>
            <w:tcW w:w="3500" w:type="dxa"/>
            <w:gridSpan w:val="2"/>
            <w:tcBorders>
              <w:top w:val="single" w:sz="4" w:space="0" w:color="auto"/>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Харьяалал</w:t>
            </w:r>
          </w:p>
        </w:tc>
        <w:tc>
          <w:tcPr>
            <w:tcW w:w="1283" w:type="dxa"/>
            <w:tcBorders>
              <w:top w:val="single" w:sz="4" w:space="0" w:color="auto"/>
              <w:left w:val="nil"/>
              <w:bottom w:val="nil"/>
              <w:right w:val="nil"/>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 </w:t>
            </w:r>
          </w:p>
        </w:tc>
        <w:tc>
          <w:tcPr>
            <w:tcW w:w="1280" w:type="dxa"/>
            <w:tcBorders>
              <w:top w:val="single" w:sz="4" w:space="0" w:color="auto"/>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80" w:type="dxa"/>
            <w:tcBorders>
              <w:top w:val="single" w:sz="4" w:space="0" w:color="auto"/>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91" w:type="dxa"/>
            <w:tcBorders>
              <w:top w:val="single" w:sz="4" w:space="0" w:color="auto"/>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r>
      <w:tr w:rsidR="00A0268D" w:rsidRPr="00AB6B96" w:rsidTr="001D0FEA">
        <w:trPr>
          <w:trHeight w:val="51"/>
        </w:trPr>
        <w:tc>
          <w:tcPr>
            <w:tcW w:w="613"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Орон нутаг</w:t>
            </w:r>
          </w:p>
        </w:tc>
        <w:tc>
          <w:tcPr>
            <w:tcW w:w="1283" w:type="dxa"/>
            <w:tcBorders>
              <w:top w:val="nil"/>
              <w:left w:val="nil"/>
              <w:bottom w:val="nil"/>
              <w:right w:val="nil"/>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 </w:t>
            </w:r>
          </w:p>
        </w:tc>
        <w:tc>
          <w:tcPr>
            <w:tcW w:w="1280"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w:t>
            </w:r>
          </w:p>
        </w:tc>
        <w:tc>
          <w:tcPr>
            <w:tcW w:w="1280"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91"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r>
      <w:tr w:rsidR="00A0268D" w:rsidRPr="00AB6B96" w:rsidTr="001D0FEA">
        <w:trPr>
          <w:trHeight w:val="51"/>
        </w:trPr>
        <w:tc>
          <w:tcPr>
            <w:tcW w:w="613" w:type="dxa"/>
            <w:tcBorders>
              <w:top w:val="nil"/>
              <w:left w:val="nil"/>
              <w:bottom w:val="single" w:sz="8" w:space="0" w:color="000000"/>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single" w:sz="8" w:space="0" w:color="000000"/>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Хот</w:t>
            </w:r>
          </w:p>
        </w:tc>
        <w:tc>
          <w:tcPr>
            <w:tcW w:w="1283" w:type="dxa"/>
            <w:tcBorders>
              <w:top w:val="nil"/>
              <w:left w:val="nil"/>
              <w:bottom w:val="single" w:sz="8" w:space="0" w:color="000000"/>
              <w:right w:val="nil"/>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0.881</w:t>
            </w:r>
          </w:p>
        </w:tc>
        <w:tc>
          <w:tcPr>
            <w:tcW w:w="1280" w:type="dxa"/>
            <w:tcBorders>
              <w:top w:val="nil"/>
              <w:left w:val="nil"/>
              <w:bottom w:val="single" w:sz="8" w:space="0" w:color="000000"/>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1.071</w:t>
            </w:r>
          </w:p>
        </w:tc>
        <w:tc>
          <w:tcPr>
            <w:tcW w:w="1280" w:type="dxa"/>
            <w:tcBorders>
              <w:top w:val="nil"/>
              <w:left w:val="nil"/>
              <w:bottom w:val="single" w:sz="8" w:space="0" w:color="000000"/>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0.435</w:t>
            </w:r>
          </w:p>
        </w:tc>
        <w:tc>
          <w:tcPr>
            <w:tcW w:w="1291" w:type="dxa"/>
            <w:tcBorders>
              <w:top w:val="nil"/>
              <w:left w:val="nil"/>
              <w:bottom w:val="single" w:sz="8" w:space="0" w:color="000000"/>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2.636</w:t>
            </w:r>
          </w:p>
        </w:tc>
      </w:tr>
      <w:tr w:rsidR="00A0268D" w:rsidRPr="00AB6B96" w:rsidTr="001D0FEA">
        <w:trPr>
          <w:trHeight w:val="51"/>
        </w:trPr>
        <w:tc>
          <w:tcPr>
            <w:tcW w:w="3500" w:type="dxa"/>
            <w:gridSpan w:val="2"/>
            <w:tcBorders>
              <w:top w:val="single" w:sz="8" w:space="0" w:color="000000"/>
              <w:left w:val="single" w:sz="8" w:space="0" w:color="FFFFFF"/>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lang w:val="mn-MN"/>
              </w:rPr>
            </w:pPr>
            <w:r w:rsidRPr="00AB6B96">
              <w:rPr>
                <w:rFonts w:ascii="Arial" w:hAnsi="Arial" w:cs="Arial"/>
                <w:color w:val="000000"/>
                <w:lang w:val="mn-MN"/>
              </w:rPr>
              <w:t>Манас таталтын урьдал</w:t>
            </w:r>
          </w:p>
        </w:tc>
        <w:tc>
          <w:tcPr>
            <w:tcW w:w="1283"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 </w:t>
            </w:r>
          </w:p>
        </w:tc>
        <w:tc>
          <w:tcPr>
            <w:tcW w:w="1280"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80"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91"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r>
      <w:tr w:rsidR="00A0268D" w:rsidRPr="00AB6B96" w:rsidTr="001D0FEA">
        <w:trPr>
          <w:trHeight w:val="51"/>
        </w:trPr>
        <w:tc>
          <w:tcPr>
            <w:tcW w:w="613" w:type="dxa"/>
            <w:tcBorders>
              <w:top w:val="nil"/>
              <w:left w:val="single" w:sz="8" w:space="0" w:color="FFFFFF"/>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Үгүй</w:t>
            </w:r>
          </w:p>
        </w:tc>
        <w:tc>
          <w:tcPr>
            <w:tcW w:w="1283"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 </w:t>
            </w:r>
          </w:p>
        </w:tc>
        <w:tc>
          <w:tcPr>
            <w:tcW w:w="1280"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w:t>
            </w:r>
          </w:p>
        </w:tc>
        <w:tc>
          <w:tcPr>
            <w:tcW w:w="1280"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91"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r>
      <w:tr w:rsidR="00A0268D" w:rsidRPr="00AB6B96" w:rsidTr="001D0FEA">
        <w:trPr>
          <w:trHeight w:val="51"/>
        </w:trPr>
        <w:tc>
          <w:tcPr>
            <w:tcW w:w="613" w:type="dxa"/>
            <w:tcBorders>
              <w:top w:val="nil"/>
              <w:left w:val="single" w:sz="8" w:space="0" w:color="FFFFFF"/>
              <w:bottom w:val="single" w:sz="4" w:space="0" w:color="auto"/>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single" w:sz="4" w:space="0" w:color="auto"/>
              <w:right w:val="single" w:sz="8" w:space="0" w:color="FFFFFF"/>
            </w:tcBorders>
            <w:shd w:val="clear" w:color="000000" w:fill="FFFFFF"/>
            <w:vAlign w:val="center"/>
            <w:hideMark/>
          </w:tcPr>
          <w:p w:rsidR="00A0268D" w:rsidRPr="00AB6B96" w:rsidRDefault="00A0268D" w:rsidP="001D0FEA">
            <w:pPr>
              <w:rPr>
                <w:rFonts w:ascii="Arial" w:hAnsi="Arial" w:cs="Arial"/>
                <w:color w:val="000000"/>
                <w:lang w:val="mn-MN"/>
              </w:rPr>
            </w:pPr>
            <w:r w:rsidRPr="00AB6B96">
              <w:rPr>
                <w:rFonts w:ascii="Arial" w:hAnsi="Arial" w:cs="Arial"/>
                <w:color w:val="000000"/>
                <w:lang w:val="mn-MN"/>
              </w:rPr>
              <w:t>Тийм</w:t>
            </w:r>
          </w:p>
        </w:tc>
        <w:tc>
          <w:tcPr>
            <w:tcW w:w="1283" w:type="dxa"/>
            <w:tcBorders>
              <w:top w:val="nil"/>
              <w:left w:val="nil"/>
              <w:bottom w:val="single" w:sz="4" w:space="0" w:color="auto"/>
              <w:right w:val="single" w:sz="8" w:space="0" w:color="FFFFFF"/>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0.19</w:t>
            </w:r>
          </w:p>
        </w:tc>
        <w:tc>
          <w:tcPr>
            <w:tcW w:w="1280" w:type="dxa"/>
            <w:tcBorders>
              <w:top w:val="nil"/>
              <w:left w:val="nil"/>
              <w:bottom w:val="single" w:sz="4" w:space="0" w:color="auto"/>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1.991</w:t>
            </w:r>
          </w:p>
        </w:tc>
        <w:tc>
          <w:tcPr>
            <w:tcW w:w="1280" w:type="dxa"/>
            <w:tcBorders>
              <w:top w:val="nil"/>
              <w:left w:val="nil"/>
              <w:bottom w:val="single" w:sz="4" w:space="0" w:color="auto"/>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0.711</w:t>
            </w:r>
          </w:p>
        </w:tc>
        <w:tc>
          <w:tcPr>
            <w:tcW w:w="1291" w:type="dxa"/>
            <w:tcBorders>
              <w:top w:val="nil"/>
              <w:left w:val="nil"/>
              <w:bottom w:val="single" w:sz="4" w:space="0" w:color="auto"/>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5.577</w:t>
            </w:r>
          </w:p>
        </w:tc>
      </w:tr>
      <w:tr w:rsidR="00A0268D" w:rsidRPr="00AB6B96" w:rsidTr="001D0FEA">
        <w:trPr>
          <w:trHeight w:val="51"/>
        </w:trPr>
        <w:tc>
          <w:tcPr>
            <w:tcW w:w="3500" w:type="dxa"/>
            <w:gridSpan w:val="2"/>
            <w:tcBorders>
              <w:top w:val="single" w:sz="4" w:space="0" w:color="auto"/>
              <w:left w:val="single" w:sz="8" w:space="0" w:color="FFFFFF"/>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Зүрх судасны эмгэг</w:t>
            </w:r>
          </w:p>
        </w:tc>
        <w:tc>
          <w:tcPr>
            <w:tcW w:w="1283" w:type="dxa"/>
            <w:tcBorders>
              <w:top w:val="single" w:sz="4" w:space="0" w:color="auto"/>
              <w:left w:val="nil"/>
              <w:bottom w:val="single" w:sz="8" w:space="0" w:color="FFFFFF"/>
              <w:right w:val="single" w:sz="8" w:space="0" w:color="FFFFFF"/>
            </w:tcBorders>
            <w:shd w:val="clear" w:color="000000" w:fill="FFFFFF"/>
            <w:vAlign w:val="center"/>
            <w:hideMark/>
          </w:tcPr>
          <w:p w:rsidR="00A0268D" w:rsidRPr="00AB6B96" w:rsidRDefault="00A0268D" w:rsidP="001D0FEA">
            <w:pPr>
              <w:jc w:val="center"/>
              <w:rPr>
                <w:rFonts w:ascii="Arial" w:hAnsi="Arial" w:cs="Arial"/>
              </w:rPr>
            </w:pPr>
            <w:r w:rsidRPr="00AB6B96">
              <w:rPr>
                <w:rFonts w:ascii="Arial" w:hAnsi="Arial" w:cs="Arial"/>
              </w:rPr>
              <w:t> </w:t>
            </w:r>
          </w:p>
        </w:tc>
        <w:tc>
          <w:tcPr>
            <w:tcW w:w="1280" w:type="dxa"/>
            <w:tcBorders>
              <w:top w:val="single" w:sz="4" w:space="0" w:color="auto"/>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rPr>
            </w:pPr>
            <w:r w:rsidRPr="00AB6B96">
              <w:rPr>
                <w:rFonts w:ascii="Arial" w:hAnsi="Arial" w:cs="Arial"/>
              </w:rPr>
              <w:t> </w:t>
            </w:r>
          </w:p>
        </w:tc>
        <w:tc>
          <w:tcPr>
            <w:tcW w:w="1280" w:type="dxa"/>
            <w:tcBorders>
              <w:top w:val="single" w:sz="4" w:space="0" w:color="auto"/>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rPr>
            </w:pPr>
            <w:r w:rsidRPr="00AB6B96">
              <w:rPr>
                <w:rFonts w:ascii="Arial" w:hAnsi="Arial" w:cs="Arial"/>
              </w:rPr>
              <w:t> </w:t>
            </w:r>
          </w:p>
        </w:tc>
        <w:tc>
          <w:tcPr>
            <w:tcW w:w="1291" w:type="dxa"/>
            <w:tcBorders>
              <w:top w:val="single" w:sz="4" w:space="0" w:color="auto"/>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rPr>
            </w:pPr>
            <w:r w:rsidRPr="00AB6B96">
              <w:rPr>
                <w:rFonts w:ascii="Arial" w:hAnsi="Arial" w:cs="Arial"/>
              </w:rPr>
              <w:t> </w:t>
            </w:r>
          </w:p>
        </w:tc>
      </w:tr>
      <w:tr w:rsidR="00A0268D" w:rsidRPr="00AB6B96" w:rsidTr="001D0FEA">
        <w:trPr>
          <w:trHeight w:val="51"/>
        </w:trPr>
        <w:tc>
          <w:tcPr>
            <w:tcW w:w="613" w:type="dxa"/>
            <w:tcBorders>
              <w:top w:val="nil"/>
              <w:left w:val="single" w:sz="8" w:space="0" w:color="FFFFFF"/>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rPr>
            </w:pPr>
            <w:r w:rsidRPr="00AB6B96">
              <w:rPr>
                <w:rFonts w:ascii="Arial" w:hAnsi="Arial" w:cs="Arial"/>
              </w:rPr>
              <w:t> </w:t>
            </w:r>
          </w:p>
        </w:tc>
        <w:tc>
          <w:tcPr>
            <w:tcW w:w="2887"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Үгүй</w:t>
            </w:r>
          </w:p>
        </w:tc>
        <w:tc>
          <w:tcPr>
            <w:tcW w:w="1283"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jc w:val="center"/>
              <w:rPr>
                <w:rFonts w:ascii="Arial" w:hAnsi="Arial" w:cs="Arial"/>
              </w:rPr>
            </w:pPr>
            <w:r w:rsidRPr="00AB6B96">
              <w:rPr>
                <w:rFonts w:ascii="Arial" w:hAnsi="Arial" w:cs="Arial"/>
              </w:rPr>
              <w:t> </w:t>
            </w:r>
          </w:p>
        </w:tc>
        <w:tc>
          <w:tcPr>
            <w:tcW w:w="1280"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rPr>
            </w:pPr>
            <w:r w:rsidRPr="00AB6B96">
              <w:rPr>
                <w:rFonts w:ascii="Arial" w:hAnsi="Arial" w:cs="Arial"/>
              </w:rPr>
              <w:t> </w:t>
            </w:r>
          </w:p>
        </w:tc>
        <w:tc>
          <w:tcPr>
            <w:tcW w:w="1280"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rPr>
            </w:pPr>
            <w:r w:rsidRPr="00AB6B96">
              <w:rPr>
                <w:rFonts w:ascii="Arial" w:hAnsi="Arial" w:cs="Arial"/>
              </w:rPr>
              <w:t> </w:t>
            </w:r>
          </w:p>
        </w:tc>
        <w:tc>
          <w:tcPr>
            <w:tcW w:w="1291"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rPr>
            </w:pPr>
            <w:r w:rsidRPr="00AB6B96">
              <w:rPr>
                <w:rFonts w:ascii="Arial" w:hAnsi="Arial" w:cs="Arial"/>
              </w:rPr>
              <w:t> </w:t>
            </w:r>
          </w:p>
        </w:tc>
      </w:tr>
      <w:tr w:rsidR="00A0268D" w:rsidRPr="00AB6B96" w:rsidTr="001D0FEA">
        <w:trPr>
          <w:trHeight w:val="51"/>
        </w:trPr>
        <w:tc>
          <w:tcPr>
            <w:tcW w:w="613" w:type="dxa"/>
            <w:tcBorders>
              <w:top w:val="nil"/>
              <w:left w:val="single" w:sz="8" w:space="0" w:color="FFFFFF"/>
              <w:bottom w:val="single" w:sz="8" w:space="0" w:color="000000"/>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lastRenderedPageBreak/>
              <w:t> </w:t>
            </w:r>
          </w:p>
        </w:tc>
        <w:tc>
          <w:tcPr>
            <w:tcW w:w="2887" w:type="dxa"/>
            <w:tcBorders>
              <w:top w:val="nil"/>
              <w:left w:val="nil"/>
              <w:bottom w:val="single" w:sz="8" w:space="0" w:color="000000"/>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Тийм</w:t>
            </w:r>
          </w:p>
        </w:tc>
        <w:tc>
          <w:tcPr>
            <w:tcW w:w="1283" w:type="dxa"/>
            <w:tcBorders>
              <w:top w:val="nil"/>
              <w:left w:val="nil"/>
              <w:bottom w:val="single" w:sz="8" w:space="0" w:color="000000"/>
              <w:right w:val="single" w:sz="8" w:space="0" w:color="FFFFFF"/>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0.042</w:t>
            </w:r>
          </w:p>
        </w:tc>
        <w:tc>
          <w:tcPr>
            <w:tcW w:w="1280" w:type="dxa"/>
            <w:tcBorders>
              <w:top w:val="nil"/>
              <w:left w:val="nil"/>
              <w:bottom w:val="single" w:sz="8" w:space="0" w:color="000000"/>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11.2</w:t>
            </w:r>
          </w:p>
        </w:tc>
        <w:tc>
          <w:tcPr>
            <w:tcW w:w="1280" w:type="dxa"/>
            <w:tcBorders>
              <w:top w:val="nil"/>
              <w:left w:val="nil"/>
              <w:bottom w:val="single" w:sz="8" w:space="0" w:color="000000"/>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1.086</w:t>
            </w:r>
          </w:p>
        </w:tc>
        <w:tc>
          <w:tcPr>
            <w:tcW w:w="1291" w:type="dxa"/>
            <w:tcBorders>
              <w:top w:val="nil"/>
              <w:left w:val="nil"/>
              <w:bottom w:val="single" w:sz="8" w:space="0" w:color="000000"/>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115.6</w:t>
            </w:r>
          </w:p>
        </w:tc>
      </w:tr>
      <w:tr w:rsidR="00A0268D" w:rsidRPr="00AB6B96" w:rsidTr="001D0FEA">
        <w:trPr>
          <w:trHeight w:val="51"/>
        </w:trPr>
        <w:tc>
          <w:tcPr>
            <w:tcW w:w="3500" w:type="dxa"/>
            <w:gridSpan w:val="2"/>
            <w:tcBorders>
              <w:top w:val="single" w:sz="8" w:space="0" w:color="000000"/>
              <w:left w:val="single" w:sz="8" w:space="0" w:color="FFFFFF"/>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Төрлөгийн үеийн хүндрэл</w:t>
            </w:r>
          </w:p>
        </w:tc>
        <w:tc>
          <w:tcPr>
            <w:tcW w:w="1283"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 </w:t>
            </w:r>
          </w:p>
        </w:tc>
        <w:tc>
          <w:tcPr>
            <w:tcW w:w="1280"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80"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91"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r>
      <w:tr w:rsidR="00A0268D" w:rsidRPr="00AB6B96" w:rsidTr="001D0FEA">
        <w:trPr>
          <w:trHeight w:val="51"/>
        </w:trPr>
        <w:tc>
          <w:tcPr>
            <w:tcW w:w="613" w:type="dxa"/>
            <w:tcBorders>
              <w:top w:val="nil"/>
              <w:left w:val="single" w:sz="8" w:space="0" w:color="FFFFFF"/>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Үгүй</w:t>
            </w:r>
          </w:p>
        </w:tc>
        <w:tc>
          <w:tcPr>
            <w:tcW w:w="1283"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 </w:t>
            </w:r>
          </w:p>
        </w:tc>
        <w:tc>
          <w:tcPr>
            <w:tcW w:w="1280"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w:t>
            </w:r>
          </w:p>
        </w:tc>
        <w:tc>
          <w:tcPr>
            <w:tcW w:w="1280"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91"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r>
      <w:tr w:rsidR="00A0268D" w:rsidRPr="00AB6B96" w:rsidTr="001D0FEA">
        <w:trPr>
          <w:trHeight w:val="51"/>
        </w:trPr>
        <w:tc>
          <w:tcPr>
            <w:tcW w:w="613" w:type="dxa"/>
            <w:tcBorders>
              <w:top w:val="nil"/>
              <w:left w:val="single" w:sz="8" w:space="0" w:color="FFFFFF"/>
              <w:bottom w:val="single" w:sz="8" w:space="0" w:color="000000"/>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single" w:sz="8" w:space="0" w:color="000000"/>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Тийм</w:t>
            </w:r>
          </w:p>
        </w:tc>
        <w:tc>
          <w:tcPr>
            <w:tcW w:w="1283" w:type="dxa"/>
            <w:tcBorders>
              <w:top w:val="nil"/>
              <w:left w:val="nil"/>
              <w:bottom w:val="single" w:sz="8" w:space="0" w:color="000000"/>
              <w:right w:val="single" w:sz="8" w:space="0" w:color="FFFFFF"/>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0.049</w:t>
            </w:r>
          </w:p>
        </w:tc>
        <w:tc>
          <w:tcPr>
            <w:tcW w:w="1280" w:type="dxa"/>
            <w:tcBorders>
              <w:top w:val="nil"/>
              <w:left w:val="nil"/>
              <w:bottom w:val="single" w:sz="8" w:space="0" w:color="000000"/>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1.506</w:t>
            </w:r>
          </w:p>
        </w:tc>
        <w:tc>
          <w:tcPr>
            <w:tcW w:w="1280" w:type="dxa"/>
            <w:tcBorders>
              <w:top w:val="nil"/>
              <w:left w:val="nil"/>
              <w:bottom w:val="single" w:sz="8" w:space="0" w:color="000000"/>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1.098</w:t>
            </w:r>
          </w:p>
        </w:tc>
        <w:tc>
          <w:tcPr>
            <w:tcW w:w="1291" w:type="dxa"/>
            <w:tcBorders>
              <w:top w:val="nil"/>
              <w:left w:val="nil"/>
              <w:bottom w:val="single" w:sz="8" w:space="0" w:color="000000"/>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4.56</w:t>
            </w:r>
          </w:p>
        </w:tc>
      </w:tr>
      <w:tr w:rsidR="00A0268D" w:rsidRPr="00AB6B96" w:rsidTr="001D0FEA">
        <w:trPr>
          <w:trHeight w:val="51"/>
        </w:trPr>
        <w:tc>
          <w:tcPr>
            <w:tcW w:w="8634" w:type="dxa"/>
            <w:gridSpan w:val="6"/>
            <w:tcBorders>
              <w:top w:val="single" w:sz="8" w:space="0" w:color="000000"/>
              <w:left w:val="single" w:sz="8" w:space="0" w:color="FFFFFF"/>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Ураг орчимын шингэн бага, төрөх хүчний сулрал</w:t>
            </w:r>
          </w:p>
        </w:tc>
      </w:tr>
      <w:tr w:rsidR="00A0268D" w:rsidRPr="00AB6B96" w:rsidTr="001D0FEA">
        <w:trPr>
          <w:trHeight w:val="51"/>
        </w:trPr>
        <w:tc>
          <w:tcPr>
            <w:tcW w:w="613" w:type="dxa"/>
            <w:tcBorders>
              <w:top w:val="nil"/>
              <w:left w:val="single" w:sz="8" w:space="0" w:color="FFFFFF"/>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Үгүй</w:t>
            </w:r>
          </w:p>
        </w:tc>
        <w:tc>
          <w:tcPr>
            <w:tcW w:w="1283"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 </w:t>
            </w:r>
          </w:p>
        </w:tc>
        <w:tc>
          <w:tcPr>
            <w:tcW w:w="1280"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w:t>
            </w:r>
          </w:p>
        </w:tc>
        <w:tc>
          <w:tcPr>
            <w:tcW w:w="1280"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91"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r>
      <w:tr w:rsidR="00A0268D" w:rsidRPr="00AB6B96" w:rsidTr="001D0FEA">
        <w:trPr>
          <w:trHeight w:val="51"/>
        </w:trPr>
        <w:tc>
          <w:tcPr>
            <w:tcW w:w="613" w:type="dxa"/>
            <w:tcBorders>
              <w:top w:val="nil"/>
              <w:left w:val="single" w:sz="8" w:space="0" w:color="FFFFFF"/>
              <w:bottom w:val="single" w:sz="8" w:space="0" w:color="000000"/>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single" w:sz="8" w:space="0" w:color="000000"/>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Тийм</w:t>
            </w:r>
          </w:p>
        </w:tc>
        <w:tc>
          <w:tcPr>
            <w:tcW w:w="1283" w:type="dxa"/>
            <w:tcBorders>
              <w:top w:val="nil"/>
              <w:left w:val="nil"/>
              <w:bottom w:val="single" w:sz="8" w:space="0" w:color="000000"/>
              <w:right w:val="single" w:sz="8" w:space="0" w:color="FFFFFF"/>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0.086</w:t>
            </w:r>
          </w:p>
        </w:tc>
        <w:tc>
          <w:tcPr>
            <w:tcW w:w="1280" w:type="dxa"/>
            <w:tcBorders>
              <w:top w:val="nil"/>
              <w:left w:val="nil"/>
              <w:bottom w:val="single" w:sz="8" w:space="0" w:color="000000"/>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8.667</w:t>
            </w:r>
          </w:p>
        </w:tc>
        <w:tc>
          <w:tcPr>
            <w:tcW w:w="1280" w:type="dxa"/>
            <w:tcBorders>
              <w:top w:val="nil"/>
              <w:left w:val="nil"/>
              <w:bottom w:val="single" w:sz="8" w:space="0" w:color="000000"/>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0.737</w:t>
            </w:r>
          </w:p>
        </w:tc>
        <w:tc>
          <w:tcPr>
            <w:tcW w:w="1291" w:type="dxa"/>
            <w:tcBorders>
              <w:top w:val="nil"/>
              <w:left w:val="nil"/>
              <w:bottom w:val="single" w:sz="8" w:space="0" w:color="000000"/>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101.97</w:t>
            </w:r>
          </w:p>
        </w:tc>
      </w:tr>
      <w:tr w:rsidR="00A0268D" w:rsidRPr="00AB6B96" w:rsidTr="001D0FEA">
        <w:trPr>
          <w:trHeight w:val="51"/>
        </w:trPr>
        <w:tc>
          <w:tcPr>
            <w:tcW w:w="3500" w:type="dxa"/>
            <w:gridSpan w:val="2"/>
            <w:tcBorders>
              <w:top w:val="single" w:sz="8" w:space="0" w:color="000000"/>
              <w:left w:val="single" w:sz="8" w:space="0" w:color="FFFFFF"/>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Ихэс түрүүлэлт, шигдэлттэй</w:t>
            </w:r>
          </w:p>
        </w:tc>
        <w:tc>
          <w:tcPr>
            <w:tcW w:w="1283"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 </w:t>
            </w:r>
          </w:p>
        </w:tc>
        <w:tc>
          <w:tcPr>
            <w:tcW w:w="1280"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80"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91"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r>
      <w:tr w:rsidR="00A0268D" w:rsidRPr="00AB6B96" w:rsidTr="001D0FEA">
        <w:trPr>
          <w:trHeight w:val="51"/>
        </w:trPr>
        <w:tc>
          <w:tcPr>
            <w:tcW w:w="613" w:type="dxa"/>
            <w:tcBorders>
              <w:top w:val="nil"/>
              <w:left w:val="single" w:sz="8" w:space="0" w:color="FFFFFF"/>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Үгүй</w:t>
            </w:r>
          </w:p>
        </w:tc>
        <w:tc>
          <w:tcPr>
            <w:tcW w:w="1283"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 </w:t>
            </w:r>
          </w:p>
        </w:tc>
        <w:tc>
          <w:tcPr>
            <w:tcW w:w="1280"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w:t>
            </w:r>
          </w:p>
        </w:tc>
        <w:tc>
          <w:tcPr>
            <w:tcW w:w="1280"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91"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r>
      <w:tr w:rsidR="00A0268D" w:rsidRPr="00AB6B96" w:rsidTr="001D0FEA">
        <w:trPr>
          <w:trHeight w:val="51"/>
        </w:trPr>
        <w:tc>
          <w:tcPr>
            <w:tcW w:w="613" w:type="dxa"/>
            <w:tcBorders>
              <w:top w:val="nil"/>
              <w:left w:val="single" w:sz="8" w:space="0" w:color="FFFFFF"/>
              <w:bottom w:val="single" w:sz="4" w:space="0" w:color="auto"/>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single" w:sz="4" w:space="0" w:color="auto"/>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Тийм</w:t>
            </w:r>
          </w:p>
        </w:tc>
        <w:tc>
          <w:tcPr>
            <w:tcW w:w="1283" w:type="dxa"/>
            <w:tcBorders>
              <w:top w:val="nil"/>
              <w:left w:val="nil"/>
              <w:bottom w:val="single" w:sz="4" w:space="0" w:color="auto"/>
              <w:right w:val="single" w:sz="8" w:space="0" w:color="FFFFFF"/>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0.002</w:t>
            </w:r>
          </w:p>
        </w:tc>
        <w:tc>
          <w:tcPr>
            <w:tcW w:w="1280"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6.5</w:t>
            </w:r>
          </w:p>
        </w:tc>
        <w:tc>
          <w:tcPr>
            <w:tcW w:w="1280"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2.01</w:t>
            </w:r>
          </w:p>
        </w:tc>
        <w:tc>
          <w:tcPr>
            <w:tcW w:w="1291" w:type="dxa"/>
            <w:tcBorders>
              <w:top w:val="nil"/>
              <w:left w:val="nil"/>
              <w:bottom w:val="single" w:sz="8" w:space="0" w:color="FFFFFF"/>
              <w:right w:val="single" w:sz="8" w:space="0" w:color="FFFFFF"/>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21.06</w:t>
            </w:r>
          </w:p>
        </w:tc>
      </w:tr>
      <w:tr w:rsidR="00A0268D" w:rsidRPr="00AB6B96" w:rsidTr="001D0FEA">
        <w:trPr>
          <w:trHeight w:val="51"/>
        </w:trPr>
        <w:tc>
          <w:tcPr>
            <w:tcW w:w="4783" w:type="dxa"/>
            <w:gridSpan w:val="3"/>
            <w:tcBorders>
              <w:top w:val="single" w:sz="4" w:space="0" w:color="auto"/>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Төрөхийн өмнөх цус багадалт (HGB)</w:t>
            </w:r>
          </w:p>
        </w:tc>
        <w:tc>
          <w:tcPr>
            <w:tcW w:w="1280" w:type="dxa"/>
            <w:tcBorders>
              <w:top w:val="single" w:sz="8" w:space="0" w:color="000000"/>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80" w:type="dxa"/>
            <w:tcBorders>
              <w:top w:val="single" w:sz="8" w:space="0" w:color="000000"/>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91" w:type="dxa"/>
            <w:tcBorders>
              <w:top w:val="single" w:sz="8" w:space="0" w:color="000000"/>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r>
      <w:tr w:rsidR="00A0268D" w:rsidRPr="00AB6B96" w:rsidTr="001D0FEA">
        <w:trPr>
          <w:trHeight w:val="51"/>
        </w:trPr>
        <w:tc>
          <w:tcPr>
            <w:tcW w:w="613"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&gt;100</w:t>
            </w:r>
          </w:p>
        </w:tc>
        <w:tc>
          <w:tcPr>
            <w:tcW w:w="1283" w:type="dxa"/>
            <w:tcBorders>
              <w:top w:val="nil"/>
              <w:left w:val="nil"/>
              <w:bottom w:val="nil"/>
              <w:right w:val="nil"/>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 </w:t>
            </w:r>
          </w:p>
        </w:tc>
        <w:tc>
          <w:tcPr>
            <w:tcW w:w="1280"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1</w:t>
            </w:r>
          </w:p>
        </w:tc>
        <w:tc>
          <w:tcPr>
            <w:tcW w:w="1280"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1291"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r>
      <w:tr w:rsidR="00A0268D" w:rsidRPr="00AB6B96" w:rsidTr="001D0FEA">
        <w:trPr>
          <w:trHeight w:val="51"/>
        </w:trPr>
        <w:tc>
          <w:tcPr>
            <w:tcW w:w="613"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&lt;100</w:t>
            </w:r>
          </w:p>
        </w:tc>
        <w:tc>
          <w:tcPr>
            <w:tcW w:w="1283" w:type="dxa"/>
            <w:tcBorders>
              <w:top w:val="nil"/>
              <w:left w:val="nil"/>
              <w:bottom w:val="nil"/>
              <w:right w:val="nil"/>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0.041</w:t>
            </w:r>
          </w:p>
        </w:tc>
        <w:tc>
          <w:tcPr>
            <w:tcW w:w="1280"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2.411</w:t>
            </w:r>
          </w:p>
        </w:tc>
        <w:tc>
          <w:tcPr>
            <w:tcW w:w="1280"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1.704</w:t>
            </w:r>
          </w:p>
        </w:tc>
        <w:tc>
          <w:tcPr>
            <w:tcW w:w="1291" w:type="dxa"/>
            <w:tcBorders>
              <w:top w:val="nil"/>
              <w:left w:val="nil"/>
              <w:bottom w:val="nil"/>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8.25</w:t>
            </w:r>
          </w:p>
        </w:tc>
      </w:tr>
      <w:tr w:rsidR="00A0268D" w:rsidRPr="00AB6B96" w:rsidTr="001D0FEA">
        <w:trPr>
          <w:trHeight w:val="51"/>
        </w:trPr>
        <w:tc>
          <w:tcPr>
            <w:tcW w:w="613" w:type="dxa"/>
            <w:tcBorders>
              <w:top w:val="nil"/>
              <w:left w:val="nil"/>
              <w:bottom w:val="single" w:sz="8" w:space="0" w:color="000000"/>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 </w:t>
            </w:r>
          </w:p>
        </w:tc>
        <w:tc>
          <w:tcPr>
            <w:tcW w:w="2887" w:type="dxa"/>
            <w:tcBorders>
              <w:top w:val="nil"/>
              <w:left w:val="nil"/>
              <w:bottom w:val="single" w:sz="8" w:space="0" w:color="000000"/>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&lt;90</w:t>
            </w:r>
          </w:p>
        </w:tc>
        <w:tc>
          <w:tcPr>
            <w:tcW w:w="1283" w:type="dxa"/>
            <w:tcBorders>
              <w:top w:val="nil"/>
              <w:left w:val="nil"/>
              <w:bottom w:val="single" w:sz="8" w:space="0" w:color="000000"/>
              <w:right w:val="nil"/>
            </w:tcBorders>
            <w:shd w:val="clear" w:color="000000" w:fill="FFFFFF"/>
            <w:vAlign w:val="center"/>
            <w:hideMark/>
          </w:tcPr>
          <w:p w:rsidR="00A0268D" w:rsidRPr="00AB6B96" w:rsidRDefault="00A0268D" w:rsidP="001D0FEA">
            <w:pPr>
              <w:jc w:val="center"/>
              <w:rPr>
                <w:rFonts w:ascii="Arial" w:hAnsi="Arial" w:cs="Arial"/>
                <w:color w:val="000000"/>
              </w:rPr>
            </w:pPr>
            <w:r w:rsidRPr="00AB6B96">
              <w:rPr>
                <w:rFonts w:ascii="Arial" w:hAnsi="Arial" w:cs="Arial"/>
                <w:color w:val="000000"/>
              </w:rPr>
              <w:t>0.078</w:t>
            </w:r>
          </w:p>
        </w:tc>
        <w:tc>
          <w:tcPr>
            <w:tcW w:w="1280" w:type="dxa"/>
            <w:tcBorders>
              <w:top w:val="nil"/>
              <w:left w:val="nil"/>
              <w:bottom w:val="single" w:sz="8" w:space="0" w:color="000000"/>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8.053</w:t>
            </w:r>
          </w:p>
        </w:tc>
        <w:tc>
          <w:tcPr>
            <w:tcW w:w="1280" w:type="dxa"/>
            <w:tcBorders>
              <w:top w:val="nil"/>
              <w:left w:val="nil"/>
              <w:bottom w:val="single" w:sz="8" w:space="0" w:color="000000"/>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0.788</w:t>
            </w:r>
          </w:p>
        </w:tc>
        <w:tc>
          <w:tcPr>
            <w:tcW w:w="1291" w:type="dxa"/>
            <w:tcBorders>
              <w:top w:val="nil"/>
              <w:left w:val="nil"/>
              <w:bottom w:val="single" w:sz="8" w:space="0" w:color="000000"/>
              <w:right w:val="nil"/>
            </w:tcBorders>
            <w:shd w:val="clear" w:color="000000" w:fill="FFFFFF"/>
            <w:vAlign w:val="center"/>
            <w:hideMark/>
          </w:tcPr>
          <w:p w:rsidR="00A0268D" w:rsidRPr="00AB6B96" w:rsidRDefault="00A0268D" w:rsidP="001D0FEA">
            <w:pPr>
              <w:rPr>
                <w:rFonts w:ascii="Arial" w:hAnsi="Arial" w:cs="Arial"/>
                <w:color w:val="000000"/>
              </w:rPr>
            </w:pPr>
            <w:r w:rsidRPr="00AB6B96">
              <w:rPr>
                <w:rFonts w:ascii="Arial" w:hAnsi="Arial" w:cs="Arial"/>
                <w:color w:val="000000"/>
              </w:rPr>
              <w:t>82.24</w:t>
            </w:r>
          </w:p>
        </w:tc>
      </w:tr>
    </w:tbl>
    <w:p w:rsidR="00A0268D" w:rsidRPr="00AB6B96" w:rsidRDefault="00A0268D" w:rsidP="00A0268D">
      <w:pPr>
        <w:tabs>
          <w:tab w:val="left" w:pos="2955"/>
        </w:tabs>
        <w:spacing w:line="360" w:lineRule="auto"/>
        <w:jc w:val="both"/>
        <w:rPr>
          <w:rFonts w:ascii="Arial" w:hAnsi="Arial" w:cs="Arial"/>
          <w:i/>
          <w:iCs/>
          <w:color w:val="1F1F1F"/>
          <w:lang w:val="mn-MN"/>
        </w:rPr>
      </w:pPr>
      <w:r w:rsidRPr="00AB6B96">
        <w:rPr>
          <w:rFonts w:ascii="Arial" w:hAnsi="Arial" w:cs="Arial"/>
          <w:i/>
          <w:iCs/>
          <w:color w:val="1F1F1F"/>
        </w:rPr>
        <w:t>OR - Odds ratio</w:t>
      </w:r>
      <w:r w:rsidRPr="00AB6B96">
        <w:rPr>
          <w:rFonts w:ascii="Arial" w:hAnsi="Arial" w:cs="Arial"/>
          <w:i/>
          <w:iCs/>
          <w:color w:val="1F1F1F"/>
          <w:lang w:val="mn-MN"/>
        </w:rPr>
        <w:t xml:space="preserve"> </w:t>
      </w:r>
      <w:r w:rsidRPr="00AB6B96">
        <w:rPr>
          <w:rFonts w:ascii="Arial" w:hAnsi="Arial" w:cs="Arial"/>
          <w:i/>
          <w:iCs/>
          <w:color w:val="1F1F1F"/>
        </w:rPr>
        <w:t>(</w:t>
      </w:r>
      <w:r w:rsidRPr="00AB6B96">
        <w:rPr>
          <w:rFonts w:ascii="Arial" w:hAnsi="Arial" w:cs="Arial"/>
          <w:i/>
          <w:iCs/>
          <w:color w:val="1F1F1F"/>
          <w:lang w:val="mn-MN"/>
        </w:rPr>
        <w:t>Харьцуулсан харьцаа</w:t>
      </w:r>
      <w:r w:rsidRPr="00AB6B96">
        <w:rPr>
          <w:rFonts w:ascii="Arial" w:hAnsi="Arial" w:cs="Arial"/>
          <w:i/>
          <w:iCs/>
          <w:color w:val="1F1F1F"/>
        </w:rPr>
        <w:t>)</w:t>
      </w:r>
      <w:r w:rsidRPr="00AB6B96">
        <w:rPr>
          <w:rFonts w:ascii="Arial" w:hAnsi="Arial" w:cs="Arial"/>
          <w:i/>
          <w:iCs/>
          <w:color w:val="1F1F1F"/>
          <w:lang w:val="mn-MN"/>
        </w:rPr>
        <w:t>, ИИ - Итгэх интервал</w:t>
      </w:r>
    </w:p>
    <w:p w:rsidR="00A0268D" w:rsidRPr="00AB6B96" w:rsidRDefault="00A0268D" w:rsidP="00A0268D">
      <w:pPr>
        <w:tabs>
          <w:tab w:val="left" w:pos="2955"/>
        </w:tabs>
        <w:spacing w:before="240" w:line="360" w:lineRule="auto"/>
        <w:jc w:val="both"/>
        <w:rPr>
          <w:rFonts w:ascii="Arial" w:hAnsi="Arial" w:cs="Arial"/>
          <w:color w:val="1F1F1F"/>
        </w:rPr>
      </w:pPr>
      <w:r w:rsidRPr="00AB6B96">
        <w:rPr>
          <w:rFonts w:ascii="Arial" w:hAnsi="Arial" w:cs="Arial"/>
          <w:color w:val="1F1F1F"/>
          <w:lang w:val="mn-MN"/>
        </w:rPr>
        <w:t>Мөн төрөх замаар төрсөн эхчүүдэд алдсан цусны хэмжээ нь төрөлт үргэлжилсэн хугацаатай эерэг хамааралтай байв</w:t>
      </w:r>
      <w:r w:rsidRPr="00AB6B96">
        <w:rPr>
          <w:rFonts w:ascii="Arial" w:hAnsi="Arial" w:cs="Arial"/>
          <w:color w:val="1F1F1F"/>
        </w:rPr>
        <w:t xml:space="preserve"> (r=0.348) (</w:t>
      </w:r>
      <w:r w:rsidRPr="00AB6B96">
        <w:rPr>
          <w:rFonts w:ascii="Arial" w:hAnsi="Arial" w:cs="Arial"/>
          <w:color w:val="1F1F1F"/>
          <w:lang w:val="mn-MN"/>
        </w:rPr>
        <w:t>Зураг 1</w:t>
      </w:r>
      <w:r w:rsidRPr="00AB6B96">
        <w:rPr>
          <w:rFonts w:ascii="Arial" w:hAnsi="Arial" w:cs="Arial"/>
          <w:color w:val="1F1F1F"/>
        </w:rPr>
        <w:t>)</w:t>
      </w:r>
      <w:r w:rsidRPr="00AB6B96">
        <w:rPr>
          <w:rFonts w:ascii="Arial" w:hAnsi="Arial" w:cs="Arial"/>
          <w:color w:val="1F1F1F"/>
          <w:lang w:val="mn-MN"/>
        </w:rPr>
        <w:t>.</w:t>
      </w:r>
      <w:r w:rsidRPr="00AB6B96">
        <w:rPr>
          <w:rFonts w:ascii="Arial" w:hAnsi="Arial" w:cs="Arial"/>
          <w:color w:val="1F1F1F"/>
        </w:rPr>
        <w:t xml:space="preserve"> </w:t>
      </w:r>
    </w:p>
    <w:p w:rsidR="00A0268D" w:rsidRPr="00AB6B96" w:rsidRDefault="00A0268D" w:rsidP="00A0268D">
      <w:pPr>
        <w:tabs>
          <w:tab w:val="left" w:pos="2955"/>
        </w:tabs>
        <w:jc w:val="both"/>
        <w:rPr>
          <w:rFonts w:ascii="Arial" w:hAnsi="Arial" w:cs="Arial"/>
          <w:color w:val="1F1F1F"/>
        </w:rPr>
      </w:pPr>
      <w:r w:rsidRPr="00AB6B96">
        <w:rPr>
          <w:rFonts w:ascii="Arial" w:hAnsi="Arial" w:cs="Arial"/>
          <w:noProof/>
          <w:color w:val="1F1F1F"/>
        </w:rPr>
        <w:drawing>
          <wp:inline distT="0" distB="0" distL="0" distR="0" wp14:anchorId="7B28ABA3" wp14:editId="624D7C28">
            <wp:extent cx="5587365" cy="3297555"/>
            <wp:effectExtent l="0" t="0" r="0" b="0"/>
            <wp:docPr id="8" name="Picture 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91990E6-8230-4996-B63B-34EC3EE414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91990E6-8230-4996-B63B-34EC3EE41446}"/>
                        </a:ext>
                      </a:extLst>
                    </pic:cNvPr>
                    <pic:cNvPicPr>
                      <a:picLocks noChangeAspect="1"/>
                    </pic:cNvPicPr>
                  </pic:nvPicPr>
                  <pic:blipFill>
                    <a:blip r:embed="rId5"/>
                    <a:stretch>
                      <a:fillRect/>
                    </a:stretch>
                  </pic:blipFill>
                  <pic:spPr>
                    <a:xfrm>
                      <a:off x="0" y="0"/>
                      <a:ext cx="5587365" cy="3297555"/>
                    </a:xfrm>
                    <a:prstGeom prst="rect">
                      <a:avLst/>
                    </a:prstGeom>
                  </pic:spPr>
                </pic:pic>
              </a:graphicData>
            </a:graphic>
          </wp:inline>
        </w:drawing>
      </w:r>
    </w:p>
    <w:p w:rsidR="00A0268D" w:rsidRDefault="00A0268D" w:rsidP="00A0268D">
      <w:pPr>
        <w:tabs>
          <w:tab w:val="left" w:pos="2955"/>
        </w:tabs>
        <w:jc w:val="both"/>
        <w:rPr>
          <w:rFonts w:ascii="Arial" w:hAnsi="Arial" w:cs="Arial"/>
          <w:color w:val="1F1F1F"/>
          <w:lang w:val="mn-MN"/>
        </w:rPr>
      </w:pPr>
      <w:r w:rsidRPr="00AB6B96">
        <w:rPr>
          <w:rFonts w:ascii="Arial" w:hAnsi="Arial" w:cs="Arial"/>
          <w:b/>
          <w:bCs/>
          <w:color w:val="1F1F1F"/>
          <w:lang w:val="mn-MN"/>
        </w:rPr>
        <w:t xml:space="preserve">Зураг 1. </w:t>
      </w:r>
      <w:r w:rsidRPr="00AB6B96">
        <w:rPr>
          <w:rFonts w:ascii="Arial" w:hAnsi="Arial" w:cs="Arial"/>
          <w:color w:val="1F1F1F"/>
          <w:lang w:val="mn-MN"/>
        </w:rPr>
        <w:t>Нийт алдсан цусны хэмжээ ба төрөлт үргэлжилсэн хугацаа хоорондын хамаарлын шинжилгээний үр дүн</w:t>
      </w:r>
    </w:p>
    <w:p w:rsidR="00A0268D" w:rsidRPr="00AB6B96" w:rsidRDefault="00A0268D" w:rsidP="00A0268D">
      <w:pPr>
        <w:tabs>
          <w:tab w:val="left" w:pos="2955"/>
        </w:tabs>
        <w:jc w:val="both"/>
        <w:rPr>
          <w:rFonts w:ascii="Arial" w:hAnsi="Arial" w:cs="Arial"/>
          <w:color w:val="1F1F1F"/>
          <w:lang w:val="mn-MN"/>
        </w:rPr>
      </w:pPr>
    </w:p>
    <w:p w:rsidR="00A0268D" w:rsidRPr="00AB6B96" w:rsidRDefault="00A0268D" w:rsidP="00A0268D">
      <w:pPr>
        <w:tabs>
          <w:tab w:val="left" w:pos="2955"/>
        </w:tabs>
        <w:spacing w:line="276" w:lineRule="auto"/>
        <w:jc w:val="both"/>
        <w:rPr>
          <w:rFonts w:ascii="Arial" w:hAnsi="Arial" w:cs="Arial"/>
          <w:b/>
          <w:bCs/>
          <w:color w:val="1F1F1F"/>
          <w:lang w:val="mn-MN"/>
        </w:rPr>
      </w:pPr>
      <w:r w:rsidRPr="00AB6B96">
        <w:rPr>
          <w:rFonts w:ascii="Arial" w:hAnsi="Arial" w:cs="Arial"/>
          <w:b/>
          <w:bCs/>
          <w:color w:val="1F1F1F"/>
          <w:lang w:val="mn-MN"/>
        </w:rPr>
        <w:t>Дүгнэлт</w:t>
      </w:r>
    </w:p>
    <w:p w:rsidR="00A0268D" w:rsidRPr="00AB6B96" w:rsidRDefault="00A0268D" w:rsidP="00A0268D">
      <w:pPr>
        <w:tabs>
          <w:tab w:val="left" w:pos="2955"/>
        </w:tabs>
        <w:spacing w:line="276" w:lineRule="auto"/>
        <w:jc w:val="both"/>
        <w:rPr>
          <w:rFonts w:ascii="Arial" w:hAnsi="Arial" w:cs="Arial"/>
          <w:color w:val="1F1F1F"/>
          <w:lang w:val="mn-MN"/>
        </w:rPr>
      </w:pPr>
      <w:r w:rsidRPr="00AB6B96">
        <w:rPr>
          <w:rFonts w:ascii="Arial" w:hAnsi="Arial" w:cs="Arial"/>
          <w:color w:val="1F1F1F"/>
          <w:lang w:val="mn-MN"/>
        </w:rPr>
        <w:t>Төрсний дараах эрт үед их хэмжээний цус алдах эрсдлийг Манас таталтын урьдал, зүрх судасны эмгэг, ихэс түрүүлэлт шигдэлттэй, жирэмсэн үеийн цус багадалт нэмэгдүүлж</w:t>
      </w:r>
      <w:r>
        <w:rPr>
          <w:rFonts w:ascii="Arial" w:hAnsi="Arial" w:cs="Arial"/>
          <w:color w:val="1F1F1F"/>
          <w:lang w:val="mn-MN"/>
        </w:rPr>
        <w:t>ээ</w:t>
      </w:r>
      <w:r w:rsidRPr="00AB6B96">
        <w:rPr>
          <w:rFonts w:ascii="Arial" w:hAnsi="Arial" w:cs="Arial"/>
          <w:color w:val="1F1F1F"/>
          <w:lang w:val="mn-MN"/>
        </w:rPr>
        <w:t>. Цус алдалтын хавсарсан шалтгаантай тохиолдолд цус алдалтын хэмжээ нэмэгдэх эрсдэлтэй байна.</w:t>
      </w:r>
    </w:p>
    <w:p w:rsidR="00A0268D" w:rsidRDefault="00A0268D" w:rsidP="00A0268D">
      <w:pPr>
        <w:tabs>
          <w:tab w:val="left" w:pos="2955"/>
        </w:tabs>
        <w:spacing w:line="276" w:lineRule="auto"/>
        <w:jc w:val="both"/>
        <w:rPr>
          <w:rFonts w:ascii="Arial" w:hAnsi="Arial" w:cs="Arial"/>
          <w:b/>
          <w:color w:val="1F1F1F"/>
          <w:lang w:val="mn-MN"/>
        </w:rPr>
      </w:pPr>
    </w:p>
    <w:p w:rsidR="00A0268D" w:rsidRDefault="00A0268D" w:rsidP="00A0268D">
      <w:pPr>
        <w:tabs>
          <w:tab w:val="left" w:pos="2955"/>
        </w:tabs>
        <w:spacing w:line="276" w:lineRule="auto"/>
        <w:jc w:val="both"/>
        <w:rPr>
          <w:rFonts w:ascii="Arial" w:hAnsi="Arial" w:cs="Arial"/>
          <w:b/>
          <w:color w:val="1F1F1F"/>
          <w:lang w:val="mn-MN"/>
        </w:rPr>
      </w:pPr>
    </w:p>
    <w:p w:rsidR="00A0268D" w:rsidRPr="00AB6B96" w:rsidRDefault="00A0268D" w:rsidP="00A0268D">
      <w:pPr>
        <w:tabs>
          <w:tab w:val="left" w:pos="2955"/>
        </w:tabs>
        <w:spacing w:line="276" w:lineRule="auto"/>
        <w:jc w:val="both"/>
        <w:rPr>
          <w:rFonts w:ascii="Arial" w:hAnsi="Arial" w:cs="Arial"/>
          <w:b/>
          <w:color w:val="1F1F1F"/>
          <w:lang w:val="mn-MN"/>
        </w:rPr>
      </w:pPr>
    </w:p>
    <w:p w:rsidR="00A0268D" w:rsidRPr="00AB6B96" w:rsidRDefault="00A0268D" w:rsidP="00A0268D">
      <w:pPr>
        <w:tabs>
          <w:tab w:val="left" w:pos="2955"/>
        </w:tabs>
        <w:spacing w:line="276" w:lineRule="auto"/>
        <w:jc w:val="both"/>
        <w:rPr>
          <w:rFonts w:ascii="Arial" w:hAnsi="Arial" w:cs="Arial"/>
          <w:b/>
          <w:color w:val="1F1F1F"/>
          <w:lang w:val="mn-MN"/>
        </w:rPr>
      </w:pPr>
      <w:r w:rsidRPr="00AB6B96">
        <w:rPr>
          <w:rFonts w:ascii="Arial" w:hAnsi="Arial" w:cs="Arial"/>
          <w:b/>
          <w:color w:val="1F1F1F"/>
          <w:lang w:val="mn-MN"/>
        </w:rPr>
        <w:t>НОМ ЗҮЙ</w:t>
      </w:r>
    </w:p>
    <w:p w:rsidR="00A0268D" w:rsidRPr="00AB6B96" w:rsidRDefault="00A0268D" w:rsidP="00A0268D">
      <w:pPr>
        <w:pStyle w:val="ListParagraph"/>
        <w:numPr>
          <w:ilvl w:val="0"/>
          <w:numId w:val="1"/>
        </w:numPr>
        <w:spacing w:before="100" w:beforeAutospacing="1" w:after="100" w:afterAutospacing="1" w:line="276" w:lineRule="auto"/>
        <w:rPr>
          <w:rFonts w:eastAsia="Times New Roman" w:cs="Arial"/>
          <w:szCs w:val="24"/>
        </w:rPr>
      </w:pPr>
      <w:r w:rsidRPr="00AB6B96">
        <w:rPr>
          <w:rFonts w:eastAsia="Times New Roman" w:cs="Arial"/>
          <w:szCs w:val="24"/>
        </w:rPr>
        <w:t xml:space="preserve">Say L, Chou D, Gemmill A, et al. Global causes of maternal death: a WHO systematic analysis. </w:t>
      </w:r>
      <w:r w:rsidRPr="00AB6B96">
        <w:rPr>
          <w:rFonts w:eastAsia="Times New Roman" w:cs="Arial"/>
          <w:i/>
          <w:iCs/>
          <w:szCs w:val="24"/>
        </w:rPr>
        <w:t>Lancet Glob Health</w:t>
      </w:r>
      <w:r w:rsidRPr="00AB6B96">
        <w:rPr>
          <w:rFonts w:eastAsia="Times New Roman" w:cs="Arial"/>
          <w:szCs w:val="24"/>
        </w:rPr>
        <w:t>. 2014;2(6):e323-e333. doi:10.1016/S2214-109X(14)70227-X</w:t>
      </w:r>
    </w:p>
    <w:p w:rsidR="00A0268D" w:rsidRPr="00AB6B96" w:rsidRDefault="00A0268D" w:rsidP="00A0268D">
      <w:pPr>
        <w:pStyle w:val="ListParagraph"/>
        <w:numPr>
          <w:ilvl w:val="0"/>
          <w:numId w:val="1"/>
        </w:numPr>
        <w:spacing w:before="100" w:beforeAutospacing="1" w:after="100" w:afterAutospacing="1" w:line="276" w:lineRule="auto"/>
        <w:rPr>
          <w:rFonts w:eastAsia="Times New Roman" w:cs="Arial"/>
          <w:szCs w:val="24"/>
        </w:rPr>
      </w:pPr>
      <w:r w:rsidRPr="00AB6B96">
        <w:rPr>
          <w:rFonts w:eastAsia="Times New Roman" w:cs="Arial"/>
          <w:szCs w:val="24"/>
        </w:rPr>
        <w:t xml:space="preserve">Geller SE, Koch AR, Garland CE, et al. A global view of severe maternal morbidity: moving beyond maternal mortality. </w:t>
      </w:r>
      <w:r w:rsidRPr="00AB6B96">
        <w:rPr>
          <w:rFonts w:eastAsia="Times New Roman" w:cs="Arial"/>
          <w:i/>
          <w:iCs/>
          <w:szCs w:val="24"/>
        </w:rPr>
        <w:t>Reprod Health</w:t>
      </w:r>
      <w:r w:rsidRPr="00AB6B96">
        <w:rPr>
          <w:rFonts w:eastAsia="Times New Roman" w:cs="Arial"/>
          <w:szCs w:val="24"/>
        </w:rPr>
        <w:t>. 2018;15(Suppl 1):98. doi:10.1186/s12978-018-0527-2</w:t>
      </w:r>
    </w:p>
    <w:p w:rsidR="00A0268D" w:rsidRPr="00AB6B96" w:rsidRDefault="00A0268D" w:rsidP="00A0268D">
      <w:pPr>
        <w:pStyle w:val="ListParagraph"/>
        <w:numPr>
          <w:ilvl w:val="0"/>
          <w:numId w:val="1"/>
        </w:numPr>
        <w:spacing w:before="100" w:beforeAutospacing="1" w:after="100" w:afterAutospacing="1" w:line="276" w:lineRule="auto"/>
        <w:rPr>
          <w:rFonts w:eastAsia="Times New Roman" w:cs="Arial"/>
          <w:szCs w:val="24"/>
        </w:rPr>
      </w:pPr>
      <w:r w:rsidRPr="00AB6B96">
        <w:rPr>
          <w:rFonts w:eastAsia="Times New Roman" w:cs="Arial"/>
          <w:szCs w:val="24"/>
        </w:rPr>
        <w:t xml:space="preserve">Sheldon WR, Blum J, Vogel JP, et al. Postpartum haemorrhage management, risks, and maternal outcomes: findings from the WHO Multicountry Survey. </w:t>
      </w:r>
      <w:r w:rsidRPr="00AB6B96">
        <w:rPr>
          <w:rFonts w:eastAsia="Times New Roman" w:cs="Arial"/>
          <w:i/>
          <w:iCs/>
          <w:szCs w:val="24"/>
        </w:rPr>
        <w:t>BJOG</w:t>
      </w:r>
      <w:r w:rsidRPr="00AB6B96">
        <w:rPr>
          <w:rFonts w:eastAsia="Times New Roman" w:cs="Arial"/>
          <w:szCs w:val="24"/>
        </w:rPr>
        <w:t>. 2014;121 Suppl 1:5-13. doi:10.1111/1471-0528.12636</w:t>
      </w:r>
    </w:p>
    <w:p w:rsidR="00A0268D" w:rsidRPr="00AB6B96" w:rsidRDefault="00A0268D" w:rsidP="00A0268D">
      <w:pPr>
        <w:pStyle w:val="ListParagraph"/>
        <w:numPr>
          <w:ilvl w:val="0"/>
          <w:numId w:val="1"/>
        </w:numPr>
        <w:spacing w:before="100" w:beforeAutospacing="1" w:after="100" w:afterAutospacing="1" w:line="276" w:lineRule="auto"/>
        <w:rPr>
          <w:rFonts w:eastAsia="Times New Roman" w:cs="Arial"/>
          <w:szCs w:val="24"/>
        </w:rPr>
      </w:pPr>
      <w:r w:rsidRPr="00AB6B96">
        <w:rPr>
          <w:rFonts w:eastAsia="Times New Roman" w:cs="Arial"/>
          <w:szCs w:val="24"/>
        </w:rPr>
        <w:t xml:space="preserve">ACOG Committee Opinion No. 794: Quantitative Blood Loss in Obstetric Hemorrhage. </w:t>
      </w:r>
      <w:r w:rsidRPr="00AB6B96">
        <w:rPr>
          <w:rFonts w:eastAsia="Times New Roman" w:cs="Arial"/>
          <w:i/>
          <w:iCs/>
          <w:szCs w:val="24"/>
        </w:rPr>
        <w:t>Obstet Gynecol</w:t>
      </w:r>
      <w:r w:rsidRPr="00AB6B96">
        <w:rPr>
          <w:rFonts w:eastAsia="Times New Roman" w:cs="Arial"/>
          <w:szCs w:val="24"/>
        </w:rPr>
        <w:t>. 2019;134(6):e150-e156. doi:10.1097/AOG.0000000000003577</w:t>
      </w:r>
    </w:p>
    <w:p w:rsidR="00A0268D" w:rsidRPr="00AB6B96" w:rsidRDefault="00A0268D" w:rsidP="00A0268D">
      <w:pPr>
        <w:pStyle w:val="ListParagraph"/>
        <w:numPr>
          <w:ilvl w:val="0"/>
          <w:numId w:val="1"/>
        </w:numPr>
        <w:spacing w:before="100" w:beforeAutospacing="1" w:after="100" w:afterAutospacing="1" w:line="276" w:lineRule="auto"/>
        <w:rPr>
          <w:rFonts w:eastAsia="Times New Roman" w:cs="Arial"/>
          <w:szCs w:val="24"/>
        </w:rPr>
      </w:pPr>
      <w:r w:rsidRPr="00AB6B96">
        <w:rPr>
          <w:rFonts w:eastAsia="Times New Roman" w:cs="Arial"/>
          <w:szCs w:val="24"/>
        </w:rPr>
        <w:t xml:space="preserve">Main EK, Cape V, Abreo A, et al. Reduction of severe maternal morbidity from hemorrhage using a state perinatal quality collaborative. </w:t>
      </w:r>
      <w:r w:rsidRPr="00AB6B96">
        <w:rPr>
          <w:rFonts w:eastAsia="Times New Roman" w:cs="Arial"/>
          <w:i/>
          <w:iCs/>
          <w:szCs w:val="24"/>
        </w:rPr>
        <w:t>Am J Obstet Gynecol</w:t>
      </w:r>
      <w:r w:rsidRPr="00AB6B96">
        <w:rPr>
          <w:rFonts w:eastAsia="Times New Roman" w:cs="Arial"/>
          <w:szCs w:val="24"/>
        </w:rPr>
        <w:t>. 2017;216(3):298.e1-298.e11. doi:10.1016/j.ajog.2017.01.017</w:t>
      </w:r>
    </w:p>
    <w:p w:rsidR="00A0268D" w:rsidRPr="00AB6B96" w:rsidRDefault="00A0268D" w:rsidP="00A0268D">
      <w:pPr>
        <w:pStyle w:val="ListParagraph"/>
        <w:numPr>
          <w:ilvl w:val="0"/>
          <w:numId w:val="1"/>
        </w:numPr>
        <w:spacing w:before="100" w:beforeAutospacing="1" w:after="100" w:afterAutospacing="1" w:line="276" w:lineRule="auto"/>
        <w:rPr>
          <w:rFonts w:eastAsia="Times New Roman" w:cs="Arial"/>
          <w:szCs w:val="24"/>
        </w:rPr>
      </w:pPr>
      <w:r w:rsidRPr="00AB6B96">
        <w:rPr>
          <w:rFonts w:eastAsia="Times New Roman" w:cs="Arial"/>
          <w:szCs w:val="24"/>
        </w:rPr>
        <w:t xml:space="preserve">Silver RM, Landon MB, Rouse DJ, et al. Maternal morbidity associated with multiple repeat cesarean deliveries. </w:t>
      </w:r>
      <w:r w:rsidRPr="00AB6B96">
        <w:rPr>
          <w:rFonts w:eastAsia="Times New Roman" w:cs="Arial"/>
          <w:i/>
          <w:iCs/>
          <w:szCs w:val="24"/>
        </w:rPr>
        <w:t>Obstet Gynecol</w:t>
      </w:r>
      <w:r w:rsidRPr="00AB6B96">
        <w:rPr>
          <w:rFonts w:eastAsia="Times New Roman" w:cs="Arial"/>
          <w:szCs w:val="24"/>
        </w:rPr>
        <w:t>. 2006;107(6):1226-1232. doi:10.1097/01.AOG.0000219740.86486.ff</w:t>
      </w:r>
    </w:p>
    <w:p w:rsidR="00A0268D" w:rsidRPr="00AB6B96" w:rsidRDefault="00A0268D" w:rsidP="00A0268D">
      <w:pPr>
        <w:pStyle w:val="ListParagraph"/>
        <w:numPr>
          <w:ilvl w:val="0"/>
          <w:numId w:val="1"/>
        </w:numPr>
        <w:spacing w:before="100" w:beforeAutospacing="1" w:after="100" w:afterAutospacing="1" w:line="276" w:lineRule="auto"/>
        <w:rPr>
          <w:rFonts w:eastAsia="Times New Roman" w:cs="Arial"/>
          <w:szCs w:val="24"/>
        </w:rPr>
      </w:pPr>
      <w:r w:rsidRPr="00AB6B96">
        <w:rPr>
          <w:rFonts w:eastAsia="Times New Roman" w:cs="Arial"/>
          <w:szCs w:val="24"/>
        </w:rPr>
        <w:t xml:space="preserve">Jauniaux E, Chantraine F, Silver RM, Langhoff-Roos J. FIGO consensus guidelines on placenta accreta spectrum disorders: Epidemiology. </w:t>
      </w:r>
      <w:r w:rsidRPr="00AB6B96">
        <w:rPr>
          <w:rFonts w:eastAsia="Times New Roman" w:cs="Arial"/>
          <w:i/>
          <w:iCs/>
          <w:szCs w:val="24"/>
        </w:rPr>
        <w:t>Int J Gynaecol Obstet</w:t>
      </w:r>
      <w:r w:rsidRPr="00AB6B96">
        <w:rPr>
          <w:rFonts w:eastAsia="Times New Roman" w:cs="Arial"/>
          <w:szCs w:val="24"/>
        </w:rPr>
        <w:t>. 2018;140(3):265-273. doi:10.1002/ijgo.12407</w:t>
      </w:r>
    </w:p>
    <w:p w:rsidR="00A0268D" w:rsidRPr="00AB6B96" w:rsidRDefault="00A0268D" w:rsidP="00A0268D">
      <w:pPr>
        <w:pStyle w:val="ListParagraph"/>
        <w:numPr>
          <w:ilvl w:val="0"/>
          <w:numId w:val="1"/>
        </w:numPr>
        <w:spacing w:before="100" w:beforeAutospacing="1" w:after="100" w:afterAutospacing="1" w:line="276" w:lineRule="auto"/>
        <w:rPr>
          <w:rFonts w:eastAsia="Times New Roman" w:cs="Arial"/>
          <w:szCs w:val="24"/>
        </w:rPr>
      </w:pPr>
      <w:r w:rsidRPr="00AB6B96">
        <w:rPr>
          <w:rFonts w:eastAsia="Times New Roman" w:cs="Arial"/>
          <w:szCs w:val="24"/>
        </w:rPr>
        <w:t xml:space="preserve">Bowman ZS, Eller AG, Bardsley TR, Greene T, Varner MW, Silver RM. Risk factors for placenta accreta: a large prospective cohort. </w:t>
      </w:r>
      <w:r w:rsidRPr="00AB6B96">
        <w:rPr>
          <w:rFonts w:eastAsia="Times New Roman" w:cs="Arial"/>
          <w:i/>
          <w:iCs/>
          <w:szCs w:val="24"/>
        </w:rPr>
        <w:t>Am J Perinatol</w:t>
      </w:r>
      <w:r w:rsidRPr="00AB6B96">
        <w:rPr>
          <w:rFonts w:eastAsia="Times New Roman" w:cs="Arial"/>
          <w:szCs w:val="24"/>
        </w:rPr>
        <w:t>. 2014;31(9):799-804. doi:10.1055/s-0033-1363766</w:t>
      </w:r>
    </w:p>
    <w:p w:rsidR="00A0268D" w:rsidRPr="00AB6B96" w:rsidRDefault="00A0268D" w:rsidP="00A0268D">
      <w:pPr>
        <w:pStyle w:val="ListParagraph"/>
        <w:numPr>
          <w:ilvl w:val="0"/>
          <w:numId w:val="1"/>
        </w:numPr>
        <w:spacing w:before="100" w:beforeAutospacing="1" w:after="100" w:afterAutospacing="1" w:line="276" w:lineRule="auto"/>
        <w:rPr>
          <w:rFonts w:eastAsia="Times New Roman" w:cs="Arial"/>
          <w:szCs w:val="24"/>
        </w:rPr>
      </w:pPr>
      <w:r w:rsidRPr="00AB6B96">
        <w:rPr>
          <w:rFonts w:eastAsia="Times New Roman" w:cs="Arial"/>
          <w:szCs w:val="24"/>
        </w:rPr>
        <w:t xml:space="preserve">Shields LE, Smalarz K, Reffigee L, Mugg C, Burdumy TJ, Rosenberg A. Comprehensive maternal hemorrhage protocols reduce the use of blood products and improve patient safety. </w:t>
      </w:r>
      <w:r w:rsidRPr="00AB6B96">
        <w:rPr>
          <w:rFonts w:eastAsia="Times New Roman" w:cs="Arial"/>
          <w:i/>
          <w:iCs/>
          <w:szCs w:val="24"/>
        </w:rPr>
        <w:t>Am J Obstet Gynecol</w:t>
      </w:r>
      <w:r w:rsidRPr="00AB6B96">
        <w:rPr>
          <w:rFonts w:eastAsia="Times New Roman" w:cs="Arial"/>
          <w:szCs w:val="24"/>
        </w:rPr>
        <w:t>. 2011;205(4):368.e1-368.e8. doi:10.1016/j.ajog.2011.06.084</w:t>
      </w:r>
    </w:p>
    <w:p w:rsidR="00A0268D" w:rsidRDefault="00A0268D" w:rsidP="00A0268D">
      <w:pPr>
        <w:pStyle w:val="ListParagraph"/>
        <w:numPr>
          <w:ilvl w:val="0"/>
          <w:numId w:val="1"/>
        </w:numPr>
        <w:spacing w:before="100" w:beforeAutospacing="1" w:after="100" w:afterAutospacing="1" w:line="276" w:lineRule="auto"/>
        <w:rPr>
          <w:rFonts w:eastAsia="Times New Roman" w:cs="Arial"/>
          <w:szCs w:val="24"/>
        </w:rPr>
      </w:pPr>
      <w:r w:rsidRPr="00AB6B96">
        <w:rPr>
          <w:rFonts w:eastAsia="Times New Roman" w:cs="Arial"/>
          <w:szCs w:val="24"/>
        </w:rPr>
        <w:t xml:space="preserve">Goffman D, Brodman M, Friedman A, et al. Improved obstetric hemorrhage management through use of a simulated postpartum hemorrhage drill program. </w:t>
      </w:r>
      <w:r w:rsidRPr="00AB6B96">
        <w:rPr>
          <w:rFonts w:eastAsia="Times New Roman" w:cs="Arial"/>
          <w:i/>
          <w:iCs/>
          <w:szCs w:val="24"/>
        </w:rPr>
        <w:t>Obstet Gynecol</w:t>
      </w:r>
      <w:r w:rsidRPr="00AB6B96">
        <w:rPr>
          <w:rFonts w:eastAsia="Times New Roman" w:cs="Arial"/>
          <w:szCs w:val="24"/>
        </w:rPr>
        <w:t>. 2012;119(5):1020-1025. doi:10.1097/AOG.0b013e31824e9e10</w:t>
      </w:r>
    </w:p>
    <w:p w:rsidR="00A0268D" w:rsidRPr="00A0268D" w:rsidRDefault="00A0268D" w:rsidP="00A0268D">
      <w:pPr>
        <w:ind w:left="3600"/>
        <w:jc w:val="both"/>
        <w:rPr>
          <w:rFonts w:ascii="Arial" w:hAnsi="Arial" w:cs="Arial"/>
          <w:b/>
          <w:i/>
          <w:iCs/>
          <w:lang w:val="mn-MN"/>
        </w:rPr>
        <w:sectPr w:rsidR="00A0268D" w:rsidRPr="00A0268D" w:rsidSect="00AB6B96">
          <w:pgSz w:w="11906" w:h="16838" w:code="9"/>
          <w:pgMar w:top="1412" w:right="1247" w:bottom="1412" w:left="1412" w:header="720" w:footer="34" w:gutter="0"/>
          <w:cols w:space="708"/>
          <w:docGrid w:linePitch="326"/>
        </w:sectPr>
      </w:pPr>
      <w:r w:rsidRPr="0068210C">
        <w:rPr>
          <w:rFonts w:ascii="Arial" w:hAnsi="Arial" w:cs="Arial"/>
          <w:i/>
          <w:iCs/>
          <w:lang w:val="mn-MN"/>
        </w:rPr>
        <w:t>Хянан засварлаж нийтлэх санал өгсөн: Анагаах ухааны доктор, дэд професоор Б.Жаргалсайхан</w:t>
      </w:r>
    </w:p>
    <w:p w:rsidR="007C6024" w:rsidRDefault="00A0268D"/>
    <w:sectPr w:rsidR="007C60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7A65C5"/>
    <w:multiLevelType w:val="hybridMultilevel"/>
    <w:tmpl w:val="FB62A5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68D"/>
    <w:rsid w:val="003A7FC5"/>
    <w:rsid w:val="0076042C"/>
    <w:rsid w:val="00A0268D"/>
    <w:rsid w:val="00AA02A4"/>
    <w:rsid w:val="00AD03FF"/>
    <w:rsid w:val="00D0654D"/>
    <w:rsid w:val="00E55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E06B30-FEFC-429A-9CE0-F701A7DF1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268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0268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link w:val="Heading2Char"/>
    <w:uiPriority w:val="9"/>
    <w:unhideWhenUsed/>
    <w:qFormat/>
    <w:rsid w:val="00A0268D"/>
    <w:pPr>
      <w:spacing w:before="480" w:line="480" w:lineRule="auto"/>
      <w:outlineLvl w:val="1"/>
    </w:pPr>
    <w:rPr>
      <w:rFonts w:ascii="Arial" w:hAnsi="Arial"/>
      <w:b/>
      <w:color w:val="auto"/>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0268D"/>
    <w:rPr>
      <w:rFonts w:ascii="Arial" w:eastAsiaTheme="majorEastAsia" w:hAnsi="Arial" w:cstheme="majorBidi"/>
      <w:b/>
      <w:sz w:val="24"/>
      <w:szCs w:val="28"/>
    </w:rPr>
  </w:style>
  <w:style w:type="paragraph" w:styleId="ListParagraph">
    <w:name w:val="List Paragraph"/>
    <w:aliases w:val="Subtitle,Дэд гарчиг,List Paragraph1,Colorful List - Accent 11,List Paragraph Num,Subtitle1,Paragraph,Subtitle11,Subtitle111,Subtitle1111,Subtitle11111,Subtitle111111,Subtitle1111111,Subtitle11111111,Subtitle111111111,Subtitle1111111111"/>
    <w:basedOn w:val="Normal"/>
    <w:link w:val="ListParagraphChar"/>
    <w:uiPriority w:val="34"/>
    <w:qFormat/>
    <w:rsid w:val="00A0268D"/>
    <w:pPr>
      <w:spacing w:after="200" w:line="360" w:lineRule="auto"/>
      <w:ind w:left="720"/>
      <w:contextualSpacing/>
      <w:jc w:val="both"/>
    </w:pPr>
    <w:rPr>
      <w:rFonts w:ascii="Arial" w:eastAsiaTheme="minorHAnsi" w:hAnsi="Arial" w:cstheme="minorBidi"/>
      <w:szCs w:val="22"/>
    </w:rPr>
  </w:style>
  <w:style w:type="character" w:customStyle="1" w:styleId="ListParagraphChar">
    <w:name w:val="List Paragraph Char"/>
    <w:aliases w:val="Subtitle Char,Дэд гарчиг Char,List Paragraph1 Char,Colorful List - Accent 11 Char,List Paragraph Num Char,Subtitle1 Char,Paragraph Char,Subtitle11 Char,Subtitle111 Char,Subtitle1111 Char,Subtitle11111 Char,Subtitle111111 Char"/>
    <w:link w:val="ListParagraph"/>
    <w:uiPriority w:val="34"/>
    <w:locked/>
    <w:rsid w:val="00A0268D"/>
    <w:rPr>
      <w:rFonts w:ascii="Arial" w:hAnsi="Arial"/>
      <w:sz w:val="24"/>
    </w:rPr>
  </w:style>
  <w:style w:type="paragraph" w:styleId="NormalWeb">
    <w:name w:val="Normal (Web)"/>
    <w:basedOn w:val="Normal"/>
    <w:uiPriority w:val="99"/>
    <w:unhideWhenUsed/>
    <w:rsid w:val="00A0268D"/>
    <w:pPr>
      <w:spacing w:before="100" w:beforeAutospacing="1" w:after="100" w:afterAutospacing="1"/>
    </w:pPr>
  </w:style>
  <w:style w:type="paragraph" w:styleId="HTMLPreformatted">
    <w:name w:val="HTML Preformatted"/>
    <w:basedOn w:val="Normal"/>
    <w:link w:val="HTMLPreformattedChar"/>
    <w:uiPriority w:val="99"/>
    <w:unhideWhenUsed/>
    <w:rsid w:val="00A0268D"/>
    <w:rPr>
      <w:rFonts w:ascii="Consolas" w:eastAsiaTheme="minorHAnsi" w:hAnsi="Consolas" w:cs="Consolas"/>
      <w:sz w:val="20"/>
      <w:szCs w:val="20"/>
    </w:rPr>
  </w:style>
  <w:style w:type="character" w:customStyle="1" w:styleId="HTMLPreformattedChar">
    <w:name w:val="HTML Preformatted Char"/>
    <w:basedOn w:val="DefaultParagraphFont"/>
    <w:link w:val="HTMLPreformatted"/>
    <w:uiPriority w:val="99"/>
    <w:rsid w:val="00A0268D"/>
    <w:rPr>
      <w:rFonts w:ascii="Consolas" w:hAnsi="Consolas" w:cs="Consolas"/>
      <w:sz w:val="20"/>
      <w:szCs w:val="20"/>
    </w:rPr>
  </w:style>
  <w:style w:type="character" w:customStyle="1" w:styleId="Heading1Char">
    <w:name w:val="Heading 1 Char"/>
    <w:basedOn w:val="DefaultParagraphFont"/>
    <w:link w:val="Heading1"/>
    <w:uiPriority w:val="9"/>
    <w:rsid w:val="00A0268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1897</Words>
  <Characters>10816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Nasantogtokh E</dc:creator>
  <cp:keywords/>
  <dc:description/>
  <cp:lastModifiedBy>Nasantogtokh E</cp:lastModifiedBy>
  <cp:revision>1</cp:revision>
  <dcterms:created xsi:type="dcterms:W3CDTF">2025-12-03T06:58:00Z</dcterms:created>
  <dcterms:modified xsi:type="dcterms:W3CDTF">2025-12-03T07:05:00Z</dcterms:modified>
</cp:coreProperties>
</file>