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rawings/drawing1.xml" ContentType="application/vnd.openxmlformats-officedocument.drawingml.chartshapes+xml"/>
  <Override PartName="/word/charts/chart2.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461D9D" w14:textId="4E940D4F" w:rsidR="00DF5D53" w:rsidRPr="00302A9F" w:rsidRDefault="004C6867" w:rsidP="004C6867">
      <w:pPr>
        <w:pStyle w:val="Default"/>
        <w:spacing w:before="0" w:line="240" w:lineRule="auto"/>
        <w:jc w:val="right"/>
        <w:rPr>
          <w:rFonts w:ascii="Arial" w:hAnsi="Arial" w:cs="Arial"/>
          <w:b/>
          <w:color w:val="auto"/>
          <w:lang w:val="mn-MN"/>
        </w:rPr>
      </w:pPr>
      <w:r w:rsidRPr="00302A9F">
        <w:rPr>
          <w:rFonts w:ascii="Arial" w:hAnsi="Arial" w:cs="Arial"/>
          <w:b/>
          <w:color w:val="auto"/>
          <w:lang w:val="mn-MN"/>
        </w:rPr>
        <w:t>ШЕНЛЕЙН-ГЕНОХ ӨВЧИНТЭЙ ХҮҮХДИЙН АМНЫ ХӨНДИЙН ТӨЛӨВ БАЙДАЛ</w:t>
      </w:r>
    </w:p>
    <w:p w14:paraId="68EAF4BD" w14:textId="77777777" w:rsidR="00DF5D53" w:rsidRDefault="00DF5D53" w:rsidP="00DF5D53">
      <w:pPr>
        <w:pStyle w:val="Default"/>
        <w:spacing w:before="0" w:line="240" w:lineRule="auto"/>
        <w:jc w:val="center"/>
        <w:rPr>
          <w:rFonts w:ascii="Times New Roman" w:hAnsi="Times New Roman" w:cs="Times New Roman"/>
          <w:b/>
          <w:color w:val="auto"/>
          <w:lang w:val="mn-MN"/>
        </w:rPr>
      </w:pPr>
    </w:p>
    <w:p w14:paraId="18BBD54C" w14:textId="77777777" w:rsidR="00DF5D53" w:rsidRPr="00302A9F" w:rsidRDefault="00DF5D53" w:rsidP="00DF5D53">
      <w:pPr>
        <w:spacing w:line="240" w:lineRule="auto"/>
        <w:ind w:firstLine="578"/>
        <w:jc w:val="right"/>
        <w:outlineLvl w:val="0"/>
        <w:rPr>
          <w:rFonts w:cs="Arial"/>
          <w:i/>
          <w:color w:val="auto"/>
          <w:sz w:val="20"/>
          <w:szCs w:val="20"/>
          <w:vertAlign w:val="superscript"/>
          <w:lang w:val="mn-MN"/>
        </w:rPr>
      </w:pPr>
      <w:r w:rsidRPr="00302A9F">
        <w:rPr>
          <w:rFonts w:cs="Arial"/>
          <w:i/>
          <w:color w:val="auto"/>
          <w:sz w:val="20"/>
          <w:szCs w:val="20"/>
          <w:lang w:val="mn-MN"/>
        </w:rPr>
        <w:t>Ц.Хаш-Оргил</w:t>
      </w:r>
      <w:r w:rsidRPr="00302A9F">
        <w:rPr>
          <w:rFonts w:cs="Arial"/>
          <w:i/>
          <w:color w:val="auto"/>
          <w:sz w:val="20"/>
          <w:szCs w:val="20"/>
          <w:vertAlign w:val="superscript"/>
          <w:lang w:val="mn-MN"/>
        </w:rPr>
        <w:t>1</w:t>
      </w:r>
      <w:r w:rsidRPr="00302A9F">
        <w:rPr>
          <w:rFonts w:cs="Arial"/>
          <w:i/>
          <w:color w:val="auto"/>
          <w:sz w:val="20"/>
          <w:szCs w:val="20"/>
          <w:lang w:val="mn-MN"/>
        </w:rPr>
        <w:t>, Б.Оюунцэцэг</w:t>
      </w:r>
      <w:r w:rsidRPr="00302A9F">
        <w:rPr>
          <w:rFonts w:cs="Arial"/>
          <w:i/>
          <w:color w:val="auto"/>
          <w:sz w:val="20"/>
          <w:szCs w:val="20"/>
          <w:vertAlign w:val="superscript"/>
          <w:lang w:val="mn-MN"/>
        </w:rPr>
        <w:t>2</w:t>
      </w:r>
      <w:r w:rsidRPr="00302A9F">
        <w:rPr>
          <w:rFonts w:cs="Arial"/>
          <w:i/>
          <w:color w:val="auto"/>
          <w:sz w:val="20"/>
          <w:szCs w:val="20"/>
          <w:lang w:val="mn-MN"/>
        </w:rPr>
        <w:t>, Г.Аянга</w:t>
      </w:r>
      <w:r w:rsidRPr="00302A9F">
        <w:rPr>
          <w:rFonts w:cs="Arial"/>
          <w:i/>
          <w:color w:val="auto"/>
          <w:sz w:val="20"/>
          <w:szCs w:val="20"/>
          <w:vertAlign w:val="superscript"/>
          <w:lang w:val="mn-MN"/>
        </w:rPr>
        <w:t>1</w:t>
      </w:r>
    </w:p>
    <w:p w14:paraId="78F287E4" w14:textId="2416B0B1" w:rsidR="00DF5D53" w:rsidRPr="00302A9F" w:rsidRDefault="00DF5D53" w:rsidP="00DF5D53">
      <w:pPr>
        <w:spacing w:line="240" w:lineRule="auto"/>
        <w:ind w:firstLine="578"/>
        <w:jc w:val="right"/>
        <w:outlineLvl w:val="0"/>
        <w:rPr>
          <w:rFonts w:cs="Arial"/>
          <w:i/>
          <w:color w:val="auto"/>
          <w:sz w:val="20"/>
          <w:szCs w:val="20"/>
          <w:lang w:val="mn-MN"/>
        </w:rPr>
      </w:pPr>
      <w:r w:rsidRPr="00302A9F">
        <w:rPr>
          <w:rFonts w:cs="Arial"/>
          <w:i/>
          <w:color w:val="auto"/>
          <w:sz w:val="20"/>
          <w:szCs w:val="20"/>
          <w:lang w:val="mn-MN"/>
        </w:rPr>
        <w:t xml:space="preserve">ЭХЭМҮТ, </w:t>
      </w:r>
    </w:p>
    <w:p w14:paraId="0B543A61" w14:textId="77777777" w:rsidR="00DF5D53" w:rsidRPr="00302A9F" w:rsidRDefault="00DF5D53" w:rsidP="00DF5D53">
      <w:pPr>
        <w:pStyle w:val="Default"/>
        <w:spacing w:before="0" w:line="240" w:lineRule="auto"/>
        <w:jc w:val="right"/>
        <w:rPr>
          <w:rFonts w:ascii="Arial" w:hAnsi="Arial" w:cs="Arial"/>
          <w:b/>
          <w:i/>
          <w:color w:val="auto"/>
          <w:sz w:val="18"/>
          <w:szCs w:val="18"/>
          <w:lang w:val="mn-MN"/>
        </w:rPr>
      </w:pPr>
      <w:r w:rsidRPr="00302A9F">
        <w:rPr>
          <w:rFonts w:ascii="Arial" w:hAnsi="Arial" w:cs="Arial"/>
          <w:i/>
          <w:color w:val="auto"/>
          <w:sz w:val="20"/>
          <w:szCs w:val="20"/>
          <w:vertAlign w:val="superscript"/>
          <w:lang w:val="mn-MN"/>
        </w:rPr>
        <w:t>2</w:t>
      </w:r>
      <w:r w:rsidRPr="00302A9F">
        <w:rPr>
          <w:rFonts w:ascii="Arial" w:hAnsi="Arial" w:cs="Arial"/>
          <w:i/>
          <w:color w:val="auto"/>
          <w:sz w:val="20"/>
          <w:szCs w:val="20"/>
          <w:lang w:val="mn-MN"/>
        </w:rPr>
        <w:t>Хүүхдийн нүүр эм судлал, урьдчилан сэргийлэлтийн тэнхим, НАСС</w:t>
      </w:r>
    </w:p>
    <w:p w14:paraId="39505B27" w14:textId="77777777" w:rsidR="00DF5D53" w:rsidRPr="00302A9F" w:rsidRDefault="00DF5D53" w:rsidP="004C6867">
      <w:pPr>
        <w:pStyle w:val="Default"/>
        <w:spacing w:before="0" w:line="240" w:lineRule="auto"/>
        <w:jc w:val="center"/>
        <w:rPr>
          <w:rFonts w:ascii="Arial" w:hAnsi="Arial" w:cs="Arial"/>
          <w:b/>
          <w:color w:val="auto"/>
          <w:lang w:val="mn-MN"/>
        </w:rPr>
      </w:pPr>
    </w:p>
    <w:p w14:paraId="5AC5BEAF" w14:textId="09F200D5" w:rsidR="00DF5D53" w:rsidRDefault="004C6867" w:rsidP="004C6867">
      <w:pPr>
        <w:pStyle w:val="Default"/>
        <w:spacing w:before="0" w:line="240" w:lineRule="auto"/>
        <w:jc w:val="center"/>
        <w:rPr>
          <w:rFonts w:ascii="Arial" w:hAnsi="Arial" w:cs="Arial"/>
          <w:b/>
          <w:color w:val="000000" w:themeColor="text1"/>
          <w:lang w:val="mn-MN"/>
        </w:rPr>
      </w:pPr>
      <w:r w:rsidRPr="00FD767F">
        <w:rPr>
          <w:rFonts w:ascii="Arial" w:hAnsi="Arial" w:cs="Arial"/>
          <w:b/>
          <w:color w:val="000000" w:themeColor="text1"/>
          <w:lang w:val="mn-MN"/>
        </w:rPr>
        <w:t xml:space="preserve">ORAL </w:t>
      </w:r>
      <w:r w:rsidRPr="00FD767F">
        <w:rPr>
          <w:rFonts w:ascii="Arial" w:hAnsi="Arial" w:cs="Arial"/>
          <w:b/>
          <w:color w:val="auto"/>
          <w:lang w:val="mn-MN"/>
        </w:rPr>
        <w:t>HYGEINE</w:t>
      </w:r>
      <w:r w:rsidRPr="00FD767F">
        <w:rPr>
          <w:rFonts w:ascii="Arial" w:hAnsi="Arial" w:cs="Arial"/>
          <w:b/>
          <w:color w:val="000000" w:themeColor="text1"/>
          <w:lang w:val="mn-MN"/>
        </w:rPr>
        <w:t xml:space="preserve"> STATUS OF CHILDREN WITH HENOCH-SCHONLEIN PURPURA (HSP) DISEASE</w:t>
      </w:r>
    </w:p>
    <w:p w14:paraId="6F311F68" w14:textId="77777777" w:rsidR="00FD767F" w:rsidRDefault="00FD767F" w:rsidP="00FD767F">
      <w:pPr>
        <w:pStyle w:val="Default"/>
        <w:spacing w:before="0" w:line="240" w:lineRule="auto"/>
        <w:jc w:val="center"/>
        <w:rPr>
          <w:rFonts w:ascii="Arial" w:hAnsi="Arial" w:cs="Arial"/>
          <w:b/>
          <w:color w:val="000000" w:themeColor="text1"/>
          <w:lang w:val="mn-MN"/>
        </w:rPr>
      </w:pPr>
    </w:p>
    <w:p w14:paraId="4A8EBED5" w14:textId="77777777" w:rsidR="00FD767F" w:rsidRPr="00302A9F" w:rsidRDefault="00FD767F" w:rsidP="00FD767F">
      <w:pPr>
        <w:spacing w:line="240" w:lineRule="auto"/>
        <w:ind w:firstLine="578"/>
        <w:jc w:val="right"/>
        <w:outlineLvl w:val="0"/>
        <w:rPr>
          <w:rFonts w:cs="Arial"/>
          <w:i/>
          <w:sz w:val="20"/>
          <w:szCs w:val="20"/>
          <w:vertAlign w:val="superscript"/>
          <w:lang w:val="mn-MN"/>
        </w:rPr>
      </w:pPr>
      <w:r w:rsidRPr="00302A9F">
        <w:rPr>
          <w:rFonts w:cs="Arial"/>
          <w:i/>
          <w:sz w:val="20"/>
          <w:szCs w:val="20"/>
          <w:lang w:val="mn-MN"/>
        </w:rPr>
        <w:t>Khash-Orgil.Ts</w:t>
      </w:r>
      <w:r w:rsidRPr="00302A9F">
        <w:rPr>
          <w:rFonts w:cs="Arial"/>
          <w:i/>
          <w:sz w:val="20"/>
          <w:szCs w:val="20"/>
          <w:vertAlign w:val="superscript"/>
          <w:lang w:val="mn-MN"/>
        </w:rPr>
        <w:t>1</w:t>
      </w:r>
      <w:r w:rsidRPr="00302A9F">
        <w:rPr>
          <w:rFonts w:cs="Arial"/>
          <w:i/>
          <w:sz w:val="20"/>
          <w:szCs w:val="20"/>
          <w:lang w:val="mn-MN"/>
        </w:rPr>
        <w:t>, Oyuntsetseg.B</w:t>
      </w:r>
      <w:r w:rsidRPr="00302A9F">
        <w:rPr>
          <w:rFonts w:cs="Arial"/>
          <w:i/>
          <w:sz w:val="20"/>
          <w:szCs w:val="20"/>
          <w:vertAlign w:val="superscript"/>
          <w:lang w:val="mn-MN"/>
        </w:rPr>
        <w:t>2</w:t>
      </w:r>
      <w:r w:rsidRPr="00302A9F">
        <w:rPr>
          <w:rFonts w:cs="Arial"/>
          <w:i/>
          <w:sz w:val="20"/>
          <w:szCs w:val="20"/>
          <w:lang w:val="mn-MN"/>
        </w:rPr>
        <w:t>, Ayanga.GN</w:t>
      </w:r>
      <w:r w:rsidRPr="00302A9F">
        <w:rPr>
          <w:rFonts w:cs="Arial"/>
          <w:i/>
          <w:sz w:val="20"/>
          <w:szCs w:val="20"/>
          <w:vertAlign w:val="superscript"/>
          <w:lang w:val="mn-MN"/>
        </w:rPr>
        <w:t>1</w:t>
      </w:r>
    </w:p>
    <w:p w14:paraId="613BDA80" w14:textId="30BA67CD" w:rsidR="00FD767F" w:rsidRPr="00302A9F" w:rsidRDefault="00FD767F" w:rsidP="00FD767F">
      <w:pPr>
        <w:spacing w:line="240" w:lineRule="auto"/>
        <w:ind w:firstLine="578"/>
        <w:jc w:val="right"/>
        <w:outlineLvl w:val="0"/>
        <w:rPr>
          <w:rFonts w:cs="Arial"/>
          <w:i/>
          <w:sz w:val="20"/>
          <w:szCs w:val="20"/>
          <w:vertAlign w:val="superscript"/>
          <w:lang w:val="mn-MN"/>
        </w:rPr>
      </w:pPr>
      <w:r w:rsidRPr="00302A9F">
        <w:rPr>
          <w:rFonts w:cs="Arial"/>
          <w:i/>
          <w:sz w:val="20"/>
          <w:szCs w:val="20"/>
          <w:lang w:val="mn-MN"/>
        </w:rPr>
        <w:t xml:space="preserve"> NCMCH</w:t>
      </w:r>
    </w:p>
    <w:p w14:paraId="503A5AA2" w14:textId="77777777" w:rsidR="00FD767F" w:rsidRPr="00302A9F" w:rsidRDefault="00FD767F" w:rsidP="00FD767F">
      <w:pPr>
        <w:pStyle w:val="Default"/>
        <w:spacing w:before="0" w:line="240" w:lineRule="auto"/>
        <w:jc w:val="right"/>
        <w:rPr>
          <w:rFonts w:ascii="Arial" w:hAnsi="Arial" w:cs="Arial"/>
          <w:i/>
          <w:color w:val="auto"/>
          <w:sz w:val="20"/>
          <w:szCs w:val="20"/>
          <w:lang w:val="mn-MN"/>
        </w:rPr>
      </w:pPr>
      <w:r w:rsidRPr="00302A9F">
        <w:rPr>
          <w:rFonts w:ascii="Arial" w:hAnsi="Arial" w:cs="Arial"/>
          <w:i/>
          <w:color w:val="auto"/>
          <w:sz w:val="20"/>
          <w:szCs w:val="20"/>
          <w:vertAlign w:val="superscript"/>
          <w:lang w:val="mn-MN"/>
        </w:rPr>
        <w:t>2</w:t>
      </w:r>
      <w:r w:rsidRPr="00302A9F">
        <w:rPr>
          <w:rFonts w:ascii="Arial" w:hAnsi="Arial" w:cs="Arial"/>
          <w:i/>
          <w:color w:val="auto"/>
          <w:sz w:val="20"/>
          <w:szCs w:val="20"/>
          <w:lang w:val="mn-MN"/>
        </w:rPr>
        <w:t>Departmnt of Pediatric and preventive dentistry, School of Dentistry</w:t>
      </w:r>
    </w:p>
    <w:p w14:paraId="69B3D589" w14:textId="77777777" w:rsidR="00FD767F" w:rsidRPr="00FD767F" w:rsidRDefault="00FD767F" w:rsidP="00FD767F">
      <w:pPr>
        <w:pStyle w:val="Default"/>
        <w:spacing w:before="0" w:line="240" w:lineRule="auto"/>
        <w:jc w:val="right"/>
        <w:rPr>
          <w:rFonts w:cs="Arial"/>
          <w:b/>
          <w:i/>
          <w:color w:val="auto"/>
          <w:sz w:val="18"/>
          <w:szCs w:val="18"/>
          <w:lang w:val="mn-MN"/>
        </w:rPr>
      </w:pPr>
    </w:p>
    <w:p w14:paraId="2835372C" w14:textId="7E3878AE" w:rsidR="00F314E4" w:rsidRPr="00F314E4" w:rsidRDefault="008B7562" w:rsidP="008B7562">
      <w:pPr>
        <w:pStyle w:val="Default"/>
        <w:spacing w:before="0" w:line="276" w:lineRule="auto"/>
        <w:ind w:firstLine="720"/>
        <w:jc w:val="both"/>
        <w:rPr>
          <w:rFonts w:ascii="Arial" w:hAnsi="Arial" w:cs="Arial"/>
          <w:color w:val="auto"/>
          <w:lang w:val="mn-MN"/>
        </w:rPr>
      </w:pPr>
      <w:r>
        <w:rPr>
          <w:rFonts w:ascii="Arial" w:hAnsi="Arial" w:cs="Arial"/>
          <w:b/>
          <w:bCs/>
          <w:color w:val="auto"/>
          <w:lang w:val="mn-MN"/>
        </w:rPr>
        <w:t>Backround</w:t>
      </w:r>
      <w:r w:rsidR="00F314E4" w:rsidRPr="00F022B4">
        <w:rPr>
          <w:rFonts w:ascii="Arial" w:hAnsi="Arial" w:cs="Arial"/>
          <w:b/>
          <w:bCs/>
          <w:color w:val="auto"/>
          <w:lang w:val="mn-MN"/>
        </w:rPr>
        <w:t>:</w:t>
      </w:r>
      <w:r w:rsidR="00F314E4" w:rsidRPr="00F022B4">
        <w:rPr>
          <w:rFonts w:ascii="Arial" w:hAnsi="Arial" w:cs="Arial"/>
          <w:color w:val="auto"/>
          <w:lang w:val="mn-MN"/>
        </w:rPr>
        <w:t xml:space="preserve"> Henoch-Schonlein Purpura (HSP) disease is an inflammatory disease in which capillaries, venules, and arterioles are dominated by microvessels due to the accumulation of Ig-A immunity in the walls. Eighty percent of children with HSP have chronic infections such as chronic tonsillitis, otitis media, dental caries, and gingivitis.</w:t>
      </w:r>
      <w:r w:rsidR="00541445">
        <w:rPr>
          <w:rFonts w:ascii="Arial" w:hAnsi="Arial" w:cs="Arial"/>
          <w:color w:val="auto"/>
          <w:vertAlign w:val="superscript"/>
        </w:rPr>
        <w:t>1-8</w:t>
      </w:r>
      <w:r w:rsidR="00F314E4" w:rsidRPr="00F022B4">
        <w:rPr>
          <w:rFonts w:ascii="Arial" w:hAnsi="Arial" w:cs="Arial"/>
          <w:color w:val="auto"/>
          <w:lang w:val="mn-MN"/>
        </w:rPr>
        <w:t xml:space="preserve"> However, no research has yet been conducted to determine the prevalence and severity of tooth decay in children with Shenlein-Genoch disease, and to assess gingivitis and oral hygiene.</w:t>
      </w:r>
    </w:p>
    <w:p w14:paraId="3809B077" w14:textId="03177D98" w:rsidR="00F314E4" w:rsidRPr="008B7562" w:rsidRDefault="00DF5D53" w:rsidP="008B7562">
      <w:pPr>
        <w:pStyle w:val="Default"/>
        <w:spacing w:before="0" w:line="240" w:lineRule="auto"/>
        <w:ind w:firstLine="720"/>
        <w:jc w:val="both"/>
        <w:rPr>
          <w:rFonts w:ascii="Arial" w:hAnsi="Arial" w:cs="Arial"/>
          <w:color w:val="auto"/>
          <w:lang w:val="mn-MN"/>
        </w:rPr>
      </w:pPr>
      <w:r>
        <w:rPr>
          <w:rFonts w:ascii="Arial" w:hAnsi="Arial" w:cs="Arial"/>
          <w:b/>
          <w:bCs/>
          <w:color w:val="auto"/>
        </w:rPr>
        <w:t>Objectives</w:t>
      </w:r>
      <w:r w:rsidRPr="000E722B">
        <w:rPr>
          <w:rFonts w:ascii="Arial" w:hAnsi="Arial" w:cs="Arial"/>
          <w:b/>
          <w:color w:val="auto"/>
          <w:lang w:val="mn-MN"/>
        </w:rPr>
        <w:t>:</w:t>
      </w:r>
      <w:r w:rsidRPr="000E722B">
        <w:rPr>
          <w:rFonts w:ascii="Arial" w:hAnsi="Arial" w:cs="Arial"/>
          <w:color w:val="auto"/>
          <w:lang w:val="mn-MN"/>
        </w:rPr>
        <w:t xml:space="preserve"> To assess the oral conditi</w:t>
      </w:r>
      <w:r w:rsidR="00FD767F">
        <w:rPr>
          <w:rFonts w:ascii="Arial" w:hAnsi="Arial" w:cs="Arial"/>
          <w:color w:val="auto"/>
          <w:lang w:val="mn-MN"/>
        </w:rPr>
        <w:t>on of children with HSP disease</w:t>
      </w:r>
    </w:p>
    <w:p w14:paraId="766D2D3B" w14:textId="660FB173" w:rsidR="00F314E4" w:rsidRPr="008B7562" w:rsidRDefault="00DF5D53" w:rsidP="008B7562">
      <w:pPr>
        <w:pStyle w:val="Default"/>
        <w:spacing w:before="0" w:line="240" w:lineRule="auto"/>
        <w:ind w:firstLine="720"/>
        <w:jc w:val="both"/>
        <w:rPr>
          <w:rFonts w:ascii="Arial" w:hAnsi="Arial" w:cs="Arial"/>
          <w:color w:val="auto"/>
          <w:lang w:val="mn-MN"/>
        </w:rPr>
      </w:pPr>
      <w:r w:rsidRPr="000E722B">
        <w:rPr>
          <w:rFonts w:ascii="Arial" w:hAnsi="Arial" w:cs="Arial"/>
          <w:b/>
          <w:bCs/>
          <w:color w:val="auto"/>
          <w:lang w:val="mn-MN"/>
        </w:rPr>
        <w:t>Material and methods</w:t>
      </w:r>
      <w:r w:rsidRPr="000E722B">
        <w:rPr>
          <w:rFonts w:ascii="Arial" w:hAnsi="Arial" w:cs="Arial"/>
          <w:color w:val="auto"/>
          <w:lang w:val="mn-MN"/>
        </w:rPr>
        <w:t>: The survey was conducted from 50 children with the HSP from the Department of Cardiovascular Connective Tissue Pathology of Pediatric Consultant Polyclinic of the National Center for Maternal and Child Health and was conducted in using cross-sectional survey accordance with the number 07- 2021/3, Principles of the Research Ethics Review Committee of the Mongolian National Unive</w:t>
      </w:r>
      <w:r w:rsidR="00051F63">
        <w:rPr>
          <w:rFonts w:ascii="Arial" w:hAnsi="Arial" w:cs="Arial"/>
          <w:color w:val="auto"/>
          <w:lang w:val="mn-MN"/>
        </w:rPr>
        <w:t>rsity of Medical Sciences and, t</w:t>
      </w:r>
      <w:r w:rsidRPr="000E722B">
        <w:rPr>
          <w:rFonts w:ascii="Arial" w:hAnsi="Arial" w:cs="Arial"/>
          <w:color w:val="auto"/>
          <w:lang w:val="mn-MN"/>
        </w:rPr>
        <w:t>he results of the study were processed using the statistical software SPSS 25.</w:t>
      </w:r>
    </w:p>
    <w:p w14:paraId="0868803A" w14:textId="77777777" w:rsidR="00DF5D53" w:rsidRPr="000E722B" w:rsidRDefault="00DF5D53" w:rsidP="008B7562">
      <w:pPr>
        <w:pStyle w:val="Default"/>
        <w:spacing w:before="0" w:line="240" w:lineRule="auto"/>
        <w:ind w:firstLine="720"/>
        <w:jc w:val="both"/>
        <w:rPr>
          <w:rFonts w:ascii="Arial" w:hAnsi="Arial" w:cs="Arial"/>
          <w:color w:val="auto"/>
          <w:lang w:val="mn-MN"/>
        </w:rPr>
      </w:pPr>
      <w:r w:rsidRPr="000E722B">
        <w:rPr>
          <w:rFonts w:ascii="Arial" w:hAnsi="Arial" w:cs="Arial"/>
          <w:b/>
          <w:bCs/>
          <w:color w:val="auto"/>
          <w:lang w:val="mn-MN"/>
        </w:rPr>
        <w:t>Results</w:t>
      </w:r>
      <w:r w:rsidRPr="000E722B">
        <w:rPr>
          <w:rFonts w:ascii="Arial" w:hAnsi="Arial" w:cs="Arial"/>
          <w:color w:val="auto"/>
          <w:lang w:val="mn-MN"/>
        </w:rPr>
        <w:t>: The prevalence of tooth decay among children with HSP was high at 95% for mixed dentition and 100% for each stage of primary and permanent dentition, while the intensity of tooth decay was 7,304.64 (caries+ fillings+extraction/ tooth) during primary dentition, 7,303.46 (caries+fillings / tooth) + (caries+fillings+extaction / tooth) during  mixed dentures and 11,294.13 (caries+fillings+extraction / tooth) during permanent dentition. It is noteworthy that the level is very high at all.In the study of children with gingivitis, 50% of them had gingivitis with primary dentition, 60.9% with mixed dentition, and 58.8% with permanent dentition. The proportion of healthy children without gingivitis was 50% for primary dentition, 39.1% for mixed dentition, and 41.2% for permanent dentition.</w:t>
      </w:r>
    </w:p>
    <w:p w14:paraId="2C0BED50" w14:textId="3208983A" w:rsidR="00DF5D53" w:rsidRPr="00FD767F" w:rsidRDefault="00DF5D53" w:rsidP="00DF5D53">
      <w:pPr>
        <w:pStyle w:val="Default"/>
        <w:spacing w:before="0" w:line="240" w:lineRule="auto"/>
        <w:jc w:val="both"/>
        <w:rPr>
          <w:rFonts w:ascii="Arial" w:hAnsi="Arial" w:cs="Arial"/>
          <w:color w:val="auto"/>
          <w:lang w:val="mn-MN"/>
        </w:rPr>
      </w:pPr>
      <w:r w:rsidRPr="000E722B">
        <w:rPr>
          <w:rFonts w:ascii="Arial" w:hAnsi="Arial" w:cs="Arial"/>
          <w:color w:val="auto"/>
          <w:lang w:val="mn-MN"/>
        </w:rPr>
        <w:t xml:space="preserve">The proportion of </w:t>
      </w:r>
      <w:r w:rsidRPr="000E722B">
        <w:rPr>
          <w:rFonts w:ascii="Arial" w:hAnsi="Arial" w:cs="Arial"/>
          <w:color w:val="auto"/>
          <w:rtl/>
          <w:lang w:val="mn-MN"/>
        </w:rPr>
        <w:t>“</w:t>
      </w:r>
      <w:r w:rsidRPr="000E722B">
        <w:rPr>
          <w:rFonts w:ascii="Arial" w:hAnsi="Arial" w:cs="Arial"/>
          <w:color w:val="auto"/>
          <w:lang w:val="mn-MN"/>
        </w:rPr>
        <w:t xml:space="preserve">good” </w:t>
      </w:r>
      <w:r w:rsidR="00051F63">
        <w:rPr>
          <w:rFonts w:ascii="Arial" w:hAnsi="Arial" w:cs="Arial"/>
          <w:color w:val="auto"/>
          <w:lang w:val="mn-MN"/>
        </w:rPr>
        <w:t>condition</w:t>
      </w:r>
      <w:r w:rsidRPr="000E722B">
        <w:rPr>
          <w:rFonts w:ascii="Arial" w:hAnsi="Arial" w:cs="Arial"/>
          <w:color w:val="auto"/>
          <w:lang w:val="mn-MN"/>
        </w:rPr>
        <w:t xml:space="preserve"> in the study was 30% for primary dentition, 39.1% for mixed dentition, 35.3% for permanent dentition. The </w:t>
      </w:r>
      <w:r w:rsidRPr="000E722B">
        <w:rPr>
          <w:rFonts w:ascii="Arial" w:hAnsi="Arial" w:cs="Arial"/>
          <w:color w:val="auto"/>
          <w:rtl/>
          <w:lang w:val="mn-MN"/>
        </w:rPr>
        <w:t>“</w:t>
      </w:r>
      <w:r w:rsidRPr="000E722B">
        <w:rPr>
          <w:rFonts w:ascii="Arial" w:hAnsi="Arial" w:cs="Arial"/>
          <w:color w:val="auto"/>
          <w:lang w:val="mn-MN"/>
        </w:rPr>
        <w:t xml:space="preserve">mean” rate was highest for 70% for primary dentition, 56.5% for mixed dentition and 58.8% for permanent dentition. The </w:t>
      </w:r>
      <w:r w:rsidRPr="000E722B">
        <w:rPr>
          <w:rFonts w:ascii="Arial" w:hAnsi="Arial" w:cs="Arial"/>
          <w:color w:val="auto"/>
          <w:rtl/>
          <w:lang w:val="mn-MN"/>
        </w:rPr>
        <w:t>“</w:t>
      </w:r>
      <w:r w:rsidRPr="000E722B">
        <w:rPr>
          <w:rFonts w:ascii="Arial" w:hAnsi="Arial" w:cs="Arial"/>
          <w:color w:val="auto"/>
          <w:lang w:val="mn-MN"/>
        </w:rPr>
        <w:t>insufficient” rate was 4.3% for mixed dentition and the lowest f</w:t>
      </w:r>
      <w:r w:rsidR="00FD767F">
        <w:rPr>
          <w:rFonts w:ascii="Arial" w:hAnsi="Arial" w:cs="Arial"/>
          <w:color w:val="auto"/>
          <w:lang w:val="mn-MN"/>
        </w:rPr>
        <w:t>or 5.9% for permanent dentition.</w:t>
      </w:r>
    </w:p>
    <w:p w14:paraId="609BF166" w14:textId="310E025A" w:rsidR="00DF5D53" w:rsidRPr="000E722B" w:rsidRDefault="00DF5D53" w:rsidP="00D10E8D">
      <w:pPr>
        <w:pStyle w:val="Default"/>
        <w:spacing w:before="0" w:line="240" w:lineRule="auto"/>
        <w:ind w:firstLine="720"/>
        <w:jc w:val="both"/>
        <w:rPr>
          <w:rFonts w:ascii="Arial" w:hAnsi="Arial" w:cs="Arial"/>
          <w:color w:val="auto"/>
          <w:lang w:val="mn-MN"/>
        </w:rPr>
      </w:pPr>
      <w:r w:rsidRPr="000E722B">
        <w:rPr>
          <w:rFonts w:ascii="Arial" w:hAnsi="Arial" w:cs="Arial"/>
          <w:b/>
          <w:bCs/>
          <w:color w:val="auto"/>
          <w:lang w:val="mn-MN"/>
        </w:rPr>
        <w:t>Conclusion</w:t>
      </w:r>
    </w:p>
    <w:p w14:paraId="5988C001" w14:textId="66DF459E" w:rsidR="00DF5D53" w:rsidRPr="000E722B" w:rsidRDefault="00FD767F" w:rsidP="008B7562">
      <w:pPr>
        <w:pStyle w:val="Default"/>
        <w:numPr>
          <w:ilvl w:val="0"/>
          <w:numId w:val="10"/>
        </w:numPr>
        <w:spacing w:before="0" w:line="240" w:lineRule="auto"/>
        <w:ind w:left="450"/>
        <w:jc w:val="both"/>
        <w:rPr>
          <w:rFonts w:ascii="Arial" w:hAnsi="Arial" w:cs="Arial"/>
          <w:color w:val="auto"/>
          <w:lang w:val="mn-MN"/>
        </w:rPr>
      </w:pPr>
      <w:r>
        <w:rPr>
          <w:rFonts w:ascii="Arial" w:hAnsi="Arial" w:cs="Arial"/>
          <w:color w:val="auto"/>
          <w:lang w:val="mn-MN"/>
        </w:rPr>
        <w:t>The prevalence of t</w:t>
      </w:r>
      <w:r w:rsidR="00DF5D53" w:rsidRPr="000E722B">
        <w:rPr>
          <w:rFonts w:ascii="Arial" w:hAnsi="Arial" w:cs="Arial"/>
          <w:color w:val="auto"/>
          <w:lang w:val="mn-MN"/>
        </w:rPr>
        <w:t xml:space="preserve">ooth decay among children with HSP was high at 95% for mixed dentition and 100% for each stage of primary and permanent dentition, while the intensity of tooth decay was 7,304.64 (caries+ fillings+extraction/ tooth) during </w:t>
      </w:r>
      <w:r w:rsidR="00DF5D53" w:rsidRPr="000E722B">
        <w:rPr>
          <w:rFonts w:ascii="Arial" w:hAnsi="Arial" w:cs="Arial"/>
          <w:color w:val="auto"/>
          <w:lang w:val="mn-MN"/>
        </w:rPr>
        <w:lastRenderedPageBreak/>
        <w:t xml:space="preserve">primary dentition. 7.303.46 (caries+ fillings+extraction/ tooth)+ ( caries+ fillings+extraction/ tooth) during mixed dentition and 11.294.13 (caries+ fillings+extraction/ tooth) for permanent dentition means that all of the level is at high intensity. </w:t>
      </w:r>
    </w:p>
    <w:p w14:paraId="6E3ABA0E" w14:textId="620EBCEB" w:rsidR="00DF5D53" w:rsidRPr="000E722B" w:rsidRDefault="00DF5D53" w:rsidP="008B7562">
      <w:pPr>
        <w:pStyle w:val="Default"/>
        <w:numPr>
          <w:ilvl w:val="0"/>
          <w:numId w:val="10"/>
        </w:numPr>
        <w:spacing w:before="0" w:line="240" w:lineRule="auto"/>
        <w:ind w:left="450"/>
        <w:jc w:val="both"/>
        <w:rPr>
          <w:rFonts w:ascii="Arial" w:hAnsi="Arial" w:cs="Arial"/>
          <w:color w:val="auto"/>
          <w:lang w:val="mn-MN"/>
        </w:rPr>
      </w:pPr>
      <w:r w:rsidRPr="000E722B">
        <w:rPr>
          <w:rFonts w:ascii="Arial" w:hAnsi="Arial" w:cs="Arial"/>
          <w:color w:val="auto"/>
          <w:lang w:val="mn-MN"/>
        </w:rPr>
        <w:t>In the study of children with gingivitis, 50% of them had gingivitis with primary teeth, 60.9% with mixed teeth, and 58.8% with permanent teeth. The proportion of healthy children without gingivitis was 50% for primary dentition, 39.1% for mixed dentition, and 41.2% for permanent dentition. However, there is a statistically significant result (p &lt;0.001) of the more increase in tooth plaque of poor oral hygiene the more increase in gingivitis.</w:t>
      </w:r>
    </w:p>
    <w:p w14:paraId="56774B6A" w14:textId="6A7268F9" w:rsidR="00F314E4" w:rsidRPr="00D10E8D" w:rsidRDefault="00DF5D53" w:rsidP="008B7562">
      <w:pPr>
        <w:pStyle w:val="Default"/>
        <w:numPr>
          <w:ilvl w:val="0"/>
          <w:numId w:val="10"/>
        </w:numPr>
        <w:spacing w:before="0" w:line="240" w:lineRule="auto"/>
        <w:ind w:left="450"/>
        <w:jc w:val="both"/>
        <w:rPr>
          <w:rFonts w:ascii="Arial" w:hAnsi="Arial" w:cs="Arial"/>
          <w:color w:val="auto"/>
        </w:rPr>
      </w:pPr>
      <w:r w:rsidRPr="000E722B">
        <w:rPr>
          <w:rFonts w:ascii="Arial" w:hAnsi="Arial" w:cs="Arial"/>
          <w:color w:val="auto"/>
          <w:lang w:val="mn-MN"/>
        </w:rPr>
        <w:t xml:space="preserve">The proportion of </w:t>
      </w:r>
      <w:r w:rsidRPr="000E722B">
        <w:rPr>
          <w:rFonts w:ascii="Arial" w:hAnsi="Arial" w:cs="Arial"/>
          <w:color w:val="auto"/>
          <w:rtl/>
          <w:lang w:val="mn-MN"/>
        </w:rPr>
        <w:t>“</w:t>
      </w:r>
      <w:r w:rsidRPr="000E722B">
        <w:rPr>
          <w:rFonts w:ascii="Arial" w:hAnsi="Arial" w:cs="Arial"/>
          <w:color w:val="auto"/>
          <w:lang w:val="mn-MN"/>
        </w:rPr>
        <w:t xml:space="preserve">good” </w:t>
      </w:r>
      <w:r w:rsidR="00051F63">
        <w:rPr>
          <w:rFonts w:ascii="Arial" w:hAnsi="Arial" w:cs="Arial"/>
          <w:color w:val="auto"/>
          <w:lang w:val="mn-MN"/>
        </w:rPr>
        <w:t>condition</w:t>
      </w:r>
      <w:r w:rsidRPr="000E722B">
        <w:rPr>
          <w:rFonts w:ascii="Arial" w:hAnsi="Arial" w:cs="Arial"/>
          <w:color w:val="auto"/>
          <w:lang w:val="mn-MN"/>
        </w:rPr>
        <w:t xml:space="preserve"> in the study was 30% for primary dentition, 39.1% for mixed dentition, 35.3% for permanent dentition, the “mean” rate was 70% for primary dentition, 56.5% for mixed dentition and 58.8% for permanent dentition. The </w:t>
      </w:r>
      <w:r w:rsidRPr="000E722B">
        <w:rPr>
          <w:rFonts w:ascii="Arial" w:hAnsi="Arial" w:cs="Arial"/>
          <w:color w:val="auto"/>
          <w:rtl/>
          <w:lang w:val="mn-MN"/>
        </w:rPr>
        <w:t>“</w:t>
      </w:r>
      <w:r w:rsidRPr="000E722B">
        <w:rPr>
          <w:rFonts w:ascii="Arial" w:hAnsi="Arial" w:cs="Arial"/>
          <w:color w:val="auto"/>
          <w:lang w:val="mn-MN"/>
        </w:rPr>
        <w:t xml:space="preserve">insufficient” rate was 4.4% for mixed dentition, or the lowest for 5.9% for permanent dentition. There were no statistically significant differences (p&gt; 0.05) between oral health and the HSP status of the children in the study. According to the results of the survey, it is observed that the oral health status among </w:t>
      </w:r>
      <w:r>
        <w:rPr>
          <w:rFonts w:ascii="Arial" w:hAnsi="Arial" w:cs="Arial"/>
          <w:color w:val="auto"/>
          <w:lang w:val="mn-MN"/>
        </w:rPr>
        <w:t>the respondents is insufficient</w:t>
      </w:r>
      <w:r>
        <w:rPr>
          <w:rFonts w:ascii="Arial" w:hAnsi="Arial" w:cs="Arial"/>
          <w:color w:val="auto"/>
        </w:rPr>
        <w:t>.</w:t>
      </w:r>
    </w:p>
    <w:p w14:paraId="5A19EEAB" w14:textId="556D2027" w:rsidR="00DF5D53" w:rsidRPr="00FD767F" w:rsidRDefault="00DF5D53" w:rsidP="00D10E8D">
      <w:pPr>
        <w:pStyle w:val="Default"/>
        <w:spacing w:before="0" w:line="240" w:lineRule="auto"/>
        <w:ind w:firstLine="720"/>
        <w:jc w:val="both"/>
        <w:rPr>
          <w:rFonts w:ascii="Arial" w:hAnsi="Arial" w:cs="Arial"/>
          <w:i/>
          <w:color w:val="auto"/>
        </w:rPr>
      </w:pPr>
      <w:r w:rsidRPr="000E722B">
        <w:rPr>
          <w:rFonts w:ascii="Arial" w:hAnsi="Arial" w:cs="Arial"/>
          <w:b/>
          <w:bCs/>
          <w:color w:val="auto"/>
          <w:lang w:val="mn-MN"/>
        </w:rPr>
        <w:t>Key words</w:t>
      </w:r>
      <w:r w:rsidRPr="000E722B">
        <w:rPr>
          <w:rFonts w:ascii="Arial" w:hAnsi="Arial" w:cs="Arial"/>
          <w:b/>
          <w:color w:val="auto"/>
          <w:lang w:val="mn-MN"/>
        </w:rPr>
        <w:t>:</w:t>
      </w:r>
      <w:r w:rsidRPr="000E722B">
        <w:rPr>
          <w:rFonts w:ascii="Arial" w:hAnsi="Arial" w:cs="Arial"/>
          <w:color w:val="auto"/>
          <w:lang w:val="mn-MN"/>
        </w:rPr>
        <w:t xml:space="preserve"> </w:t>
      </w:r>
      <w:r w:rsidR="00FD767F">
        <w:rPr>
          <w:rFonts w:ascii="Arial" w:hAnsi="Arial" w:cs="Arial"/>
          <w:color w:val="auto"/>
        </w:rPr>
        <w:t xml:space="preserve"> </w:t>
      </w:r>
      <w:r w:rsidRPr="00FD767F">
        <w:rPr>
          <w:rFonts w:ascii="Arial" w:hAnsi="Arial" w:cs="Arial"/>
          <w:i/>
          <w:color w:val="auto"/>
          <w:lang w:val="mn-MN"/>
        </w:rPr>
        <w:t xml:space="preserve">Henoch-Schonlein Purpura (HSP) disease, tooth decay, oral hygiene </w:t>
      </w:r>
    </w:p>
    <w:p w14:paraId="229B28E5" w14:textId="77777777" w:rsidR="00C15632" w:rsidRPr="000E722B" w:rsidRDefault="00C15632" w:rsidP="00DF5D53">
      <w:pPr>
        <w:spacing w:line="240" w:lineRule="auto"/>
        <w:ind w:firstLine="0"/>
        <w:rPr>
          <w:rFonts w:cs="Arial"/>
          <w:b/>
          <w:color w:val="auto"/>
          <w:lang w:val="mn-MN"/>
        </w:rPr>
      </w:pPr>
    </w:p>
    <w:p w14:paraId="336F6DD5" w14:textId="65D5FDB3" w:rsidR="00F314E4" w:rsidRPr="00D10E8D" w:rsidRDefault="00D10E8D" w:rsidP="00D10E8D">
      <w:pPr>
        <w:spacing w:line="276" w:lineRule="auto"/>
        <w:ind w:firstLine="720"/>
        <w:jc w:val="both"/>
        <w:rPr>
          <w:rFonts w:cs="Arial"/>
          <w:b/>
          <w:color w:val="auto"/>
          <w:lang w:val="mn-MN"/>
        </w:rPr>
      </w:pPr>
      <w:r w:rsidRPr="00D10E8D">
        <w:rPr>
          <w:rFonts w:cs="Arial"/>
          <w:b/>
          <w:bCs/>
          <w:iCs/>
          <w:color w:val="auto"/>
          <w:lang w:val="mn-MN"/>
        </w:rPr>
        <w:t>Удиртгал</w:t>
      </w:r>
    </w:p>
    <w:p w14:paraId="54D55719" w14:textId="2C10F5B7" w:rsidR="00F314E4" w:rsidRPr="00F022B4" w:rsidRDefault="00F314E4" w:rsidP="00F314E4">
      <w:pPr>
        <w:spacing w:line="276" w:lineRule="auto"/>
        <w:ind w:firstLine="720"/>
        <w:jc w:val="both"/>
        <w:rPr>
          <w:rFonts w:cs="Arial"/>
          <w:color w:val="auto"/>
          <w:szCs w:val="24"/>
          <w:lang w:val="mn-MN"/>
        </w:rPr>
      </w:pPr>
      <w:r w:rsidRPr="00F022B4">
        <w:rPr>
          <w:rFonts w:cs="Arial"/>
          <w:color w:val="auto"/>
          <w:szCs w:val="24"/>
          <w:lang w:val="mn-MN"/>
        </w:rPr>
        <w:t xml:space="preserve">Шенлейн-Генох өвчин </w:t>
      </w:r>
      <w:r w:rsidR="00773D9D">
        <w:rPr>
          <w:rFonts w:cs="Arial"/>
          <w:color w:val="auto"/>
          <w:szCs w:val="24"/>
        </w:rPr>
        <w:t>(</w:t>
      </w:r>
      <w:r w:rsidR="00773D9D">
        <w:rPr>
          <w:rFonts w:cs="Arial"/>
          <w:color w:val="auto"/>
          <w:szCs w:val="24"/>
          <w:lang w:val="mn-MN"/>
        </w:rPr>
        <w:t>ШГӨ</w:t>
      </w:r>
      <w:r w:rsidR="00773D9D">
        <w:rPr>
          <w:rFonts w:cs="Arial"/>
          <w:color w:val="auto"/>
          <w:szCs w:val="24"/>
        </w:rPr>
        <w:t xml:space="preserve">) </w:t>
      </w:r>
      <w:r w:rsidRPr="00F022B4">
        <w:rPr>
          <w:rFonts w:cs="Arial"/>
          <w:color w:val="auto"/>
          <w:szCs w:val="24"/>
          <w:lang w:val="mn-MN"/>
        </w:rPr>
        <w:t>гэдэг нь хялгасан судас, венул, артериолуудын дотор хананд Ig-A-ын дархан бүрдэл хуралдсанаас бичил судаснууд давамгайлан үрэвсдэг судасны үрэвслийн өвчин юм. ШГӨ-тэй хүүхдийн 80% нь гүйлсэн булчирхайн архаг үрэвсэл, дунд чихний архаг үрэвсэл, шүдний цоорол, буйлны үрэвсэл зэрэг халдварын архаг голомттой байдаг.</w:t>
      </w:r>
      <w:r w:rsidR="00541445">
        <w:rPr>
          <w:rFonts w:cs="Arial"/>
          <w:color w:val="auto"/>
          <w:szCs w:val="24"/>
          <w:vertAlign w:val="superscript"/>
        </w:rPr>
        <w:t>1-8</w:t>
      </w:r>
      <w:r w:rsidRPr="00F022B4">
        <w:rPr>
          <w:rFonts w:cs="Arial"/>
          <w:color w:val="auto"/>
          <w:szCs w:val="24"/>
          <w:lang w:val="mn-MN"/>
        </w:rPr>
        <w:t xml:space="preserve"> Гэвч Шенлейн-Генох өвчинтэй хүүхдийн </w:t>
      </w:r>
      <w:r w:rsidR="00773D9D">
        <w:rPr>
          <w:rFonts w:cs="Arial"/>
          <w:color w:val="auto"/>
          <w:szCs w:val="24"/>
          <w:lang w:val="mn-MN"/>
        </w:rPr>
        <w:t xml:space="preserve">шүд цоорох өвчин </w:t>
      </w:r>
      <w:r w:rsidR="00773D9D">
        <w:rPr>
          <w:rFonts w:cs="Arial"/>
          <w:color w:val="auto"/>
          <w:szCs w:val="24"/>
        </w:rPr>
        <w:t>(</w:t>
      </w:r>
      <w:r w:rsidRPr="00F022B4">
        <w:rPr>
          <w:rFonts w:cs="Arial"/>
          <w:color w:val="auto"/>
          <w:szCs w:val="24"/>
          <w:lang w:val="mn-MN"/>
        </w:rPr>
        <w:t>ШЦӨ</w:t>
      </w:r>
      <w:r w:rsidR="00773D9D">
        <w:rPr>
          <w:rFonts w:cs="Arial"/>
          <w:color w:val="auto"/>
          <w:szCs w:val="24"/>
        </w:rPr>
        <w:t>)</w:t>
      </w:r>
      <w:r w:rsidRPr="00F022B4">
        <w:rPr>
          <w:rFonts w:cs="Arial"/>
          <w:color w:val="auto"/>
          <w:szCs w:val="24"/>
          <w:lang w:val="mn-MN"/>
        </w:rPr>
        <w:t xml:space="preserve">-ний тархалт ба эрчмийг тогтоох, буйлны үрэвсэл болон амны хөндийн эрүүл ахуйн төлөвийг үнэлсэн судалгаа хараахан хийгдээгүй байгаа нь энэхүү судалгааг хийх үндэслэл болсон. </w:t>
      </w:r>
    </w:p>
    <w:p w14:paraId="74039CD9" w14:textId="77777777" w:rsidR="00F314E4" w:rsidRDefault="00F314E4" w:rsidP="00DF5D53">
      <w:pPr>
        <w:spacing w:line="240" w:lineRule="auto"/>
        <w:ind w:firstLine="0"/>
        <w:jc w:val="both"/>
        <w:rPr>
          <w:rFonts w:cs="Arial"/>
          <w:b/>
          <w:bCs/>
          <w:iCs/>
          <w:color w:val="auto"/>
          <w:lang w:val="mn-MN"/>
        </w:rPr>
      </w:pPr>
    </w:p>
    <w:p w14:paraId="5D0A0979" w14:textId="763B8E90" w:rsidR="00F314E4" w:rsidRPr="006D026B" w:rsidRDefault="00C15632" w:rsidP="006D026B">
      <w:pPr>
        <w:spacing w:after="240" w:line="240" w:lineRule="auto"/>
        <w:ind w:firstLine="720"/>
        <w:jc w:val="both"/>
        <w:rPr>
          <w:rFonts w:cs="Arial"/>
          <w:b/>
          <w:bCs/>
          <w:iCs/>
          <w:color w:val="auto"/>
          <w:lang w:val="mn-MN"/>
        </w:rPr>
      </w:pPr>
      <w:r w:rsidRPr="00FD767F">
        <w:rPr>
          <w:rFonts w:cs="Arial"/>
          <w:b/>
          <w:bCs/>
          <w:iCs/>
          <w:color w:val="auto"/>
          <w:lang w:val="mn-MN"/>
        </w:rPr>
        <w:t>Зорилго</w:t>
      </w:r>
      <w:r w:rsidRPr="00CA0F7E">
        <w:rPr>
          <w:rFonts w:cs="Arial"/>
          <w:b/>
          <w:bCs/>
          <w:iCs/>
          <w:color w:val="auto"/>
          <w:lang w:val="mn-MN"/>
        </w:rPr>
        <w:t>:</w:t>
      </w:r>
      <w:r w:rsidR="00CA0F7E">
        <w:rPr>
          <w:rFonts w:cs="Arial"/>
          <w:b/>
          <w:color w:val="auto"/>
          <w:lang w:val="mn-MN"/>
        </w:rPr>
        <w:t xml:space="preserve"> </w:t>
      </w:r>
      <w:r w:rsidRPr="000E722B">
        <w:rPr>
          <w:rFonts w:cs="Arial"/>
          <w:color w:val="auto"/>
          <w:szCs w:val="24"/>
          <w:lang w:val="mn-MN"/>
        </w:rPr>
        <w:t>Шенлейн-Генох өвчинтэй хүүхдийн амны хөндийн төлөв байдлыг үнэлэх</w:t>
      </w:r>
    </w:p>
    <w:p w14:paraId="74584BBE" w14:textId="31FF4401" w:rsidR="00051F63" w:rsidRPr="00C330F1" w:rsidRDefault="00051F63" w:rsidP="00C27D52">
      <w:pPr>
        <w:spacing w:line="240" w:lineRule="auto"/>
        <w:ind w:firstLine="720"/>
        <w:jc w:val="both"/>
        <w:rPr>
          <w:rFonts w:cs="Arial"/>
          <w:b/>
          <w:color w:val="auto"/>
          <w:szCs w:val="24"/>
          <w:lang w:val="mn-MN"/>
        </w:rPr>
      </w:pPr>
      <w:r w:rsidRPr="00C330F1">
        <w:rPr>
          <w:rFonts w:cs="Arial"/>
          <w:b/>
          <w:color w:val="auto"/>
          <w:szCs w:val="24"/>
          <w:lang w:val="mn-MN"/>
        </w:rPr>
        <w:t>Зорилт</w:t>
      </w:r>
    </w:p>
    <w:p w14:paraId="4BFC1DA7" w14:textId="585D64E8" w:rsidR="00C330F1" w:rsidRPr="00C330F1" w:rsidRDefault="00C330F1" w:rsidP="00C330F1">
      <w:pPr>
        <w:pStyle w:val="ListParagraph"/>
        <w:numPr>
          <w:ilvl w:val="0"/>
          <w:numId w:val="2"/>
        </w:numPr>
        <w:spacing w:line="240" w:lineRule="auto"/>
        <w:jc w:val="both"/>
        <w:rPr>
          <w:rFonts w:cs="Arial"/>
          <w:color w:val="auto"/>
          <w:szCs w:val="24"/>
          <w:lang w:val="mn-MN"/>
        </w:rPr>
      </w:pPr>
      <w:r w:rsidRPr="00C330F1">
        <w:rPr>
          <w:rFonts w:cs="Arial"/>
          <w:color w:val="auto"/>
          <w:szCs w:val="24"/>
          <w:lang w:val="mn-MN"/>
        </w:rPr>
        <w:t>ШГӨ-тэй хүүхдийн дундах ШЦӨ-ий тархалт, эрчмийг судалж тогтоох</w:t>
      </w:r>
    </w:p>
    <w:p w14:paraId="06CE9743" w14:textId="6432AE91" w:rsidR="00C330F1" w:rsidRPr="00C330F1" w:rsidRDefault="00C330F1" w:rsidP="00C330F1">
      <w:pPr>
        <w:pStyle w:val="ListParagraph"/>
        <w:numPr>
          <w:ilvl w:val="0"/>
          <w:numId w:val="2"/>
        </w:numPr>
        <w:spacing w:line="240" w:lineRule="auto"/>
        <w:jc w:val="both"/>
        <w:rPr>
          <w:rFonts w:cs="Arial"/>
          <w:b/>
          <w:color w:val="auto"/>
          <w:lang w:val="mn-MN"/>
        </w:rPr>
      </w:pPr>
      <w:r w:rsidRPr="00C330F1">
        <w:rPr>
          <w:rFonts w:cs="Arial"/>
          <w:color w:val="auto"/>
          <w:szCs w:val="24"/>
          <w:lang w:val="mn-MN"/>
        </w:rPr>
        <w:t>ШГӨ-тэй хүүхдийн дундах</w:t>
      </w:r>
      <w:r>
        <w:rPr>
          <w:rFonts w:cs="Arial"/>
          <w:color w:val="auto"/>
          <w:szCs w:val="24"/>
          <w:lang w:val="mn-MN"/>
        </w:rPr>
        <w:t xml:space="preserve"> буйлны үрэвслийн байдлыг судалж үнэлэх</w:t>
      </w:r>
    </w:p>
    <w:p w14:paraId="3BF53B1E" w14:textId="06F16851" w:rsidR="00F314E4" w:rsidRPr="006D026B" w:rsidRDefault="00C330F1" w:rsidP="006D026B">
      <w:pPr>
        <w:pStyle w:val="ListParagraph"/>
        <w:numPr>
          <w:ilvl w:val="0"/>
          <w:numId w:val="2"/>
        </w:numPr>
        <w:spacing w:line="240" w:lineRule="auto"/>
        <w:jc w:val="both"/>
        <w:rPr>
          <w:rFonts w:cs="Arial"/>
          <w:b/>
          <w:color w:val="auto"/>
          <w:lang w:val="mn-MN"/>
        </w:rPr>
      </w:pPr>
      <w:r w:rsidRPr="00C330F1">
        <w:rPr>
          <w:rFonts w:cs="Arial"/>
          <w:color w:val="auto"/>
          <w:szCs w:val="24"/>
          <w:lang w:val="mn-MN"/>
        </w:rPr>
        <w:t xml:space="preserve">ШГӨ-тэй хүүхдийн </w:t>
      </w:r>
      <w:r>
        <w:rPr>
          <w:rFonts w:cs="Arial"/>
          <w:color w:val="auto"/>
          <w:szCs w:val="24"/>
          <w:lang w:val="mn-MN"/>
        </w:rPr>
        <w:t>амны хөндийн төлөв байдлыг судалж үнэлэх</w:t>
      </w:r>
    </w:p>
    <w:p w14:paraId="7E8667F6" w14:textId="77777777" w:rsidR="00D10E8D" w:rsidRDefault="00AD0DC8" w:rsidP="008B7562">
      <w:pPr>
        <w:spacing w:line="240" w:lineRule="auto"/>
        <w:ind w:firstLine="720"/>
        <w:jc w:val="both"/>
        <w:rPr>
          <w:rFonts w:cs="Arial"/>
          <w:b/>
          <w:bCs/>
          <w:iCs/>
          <w:color w:val="auto"/>
          <w:szCs w:val="24"/>
          <w:lang w:val="mn-MN"/>
        </w:rPr>
      </w:pPr>
      <w:r w:rsidRPr="00FD767F">
        <w:rPr>
          <w:rFonts w:cs="Arial"/>
          <w:b/>
          <w:bCs/>
          <w:iCs/>
          <w:color w:val="auto"/>
          <w:szCs w:val="24"/>
          <w:lang w:val="mn-MN"/>
        </w:rPr>
        <w:t xml:space="preserve">Материал, </w:t>
      </w:r>
      <w:r w:rsidR="00C15632" w:rsidRPr="00FD767F">
        <w:rPr>
          <w:rFonts w:cs="Arial"/>
          <w:b/>
          <w:bCs/>
          <w:iCs/>
          <w:color w:val="auto"/>
          <w:szCs w:val="24"/>
          <w:lang w:val="mn-MN"/>
        </w:rPr>
        <w:t>арга зүй</w:t>
      </w:r>
    </w:p>
    <w:p w14:paraId="4D76D62A" w14:textId="3293BE8E" w:rsidR="0081255C" w:rsidRPr="00D10E8D" w:rsidRDefault="00C15632" w:rsidP="00D10E8D">
      <w:pPr>
        <w:spacing w:line="240" w:lineRule="auto"/>
        <w:ind w:firstLine="720"/>
        <w:jc w:val="both"/>
        <w:rPr>
          <w:rStyle w:val="Emphasis"/>
          <w:rFonts w:cs="Arial"/>
          <w:i w:val="0"/>
          <w:iCs w:val="0"/>
          <w:color w:val="auto"/>
          <w:szCs w:val="24"/>
          <w:lang w:val="mn-MN"/>
        </w:rPr>
      </w:pPr>
      <w:r w:rsidRPr="000E722B">
        <w:rPr>
          <w:rFonts w:cs="Arial"/>
          <w:color w:val="auto"/>
          <w:szCs w:val="24"/>
          <w:lang w:val="mn-MN"/>
        </w:rPr>
        <w:t xml:space="preserve">Энэхүү судалгааг ЭХЭМҮТ-ийн Хүүхдийн зөвлөх поликлиник, Зүрх судас холбогч эдийн эмгэг судлалын тасгаар үйлчлүүлсэн ШГӨ-тэй 50 хүүхдийг хамруулан, аналитик судалгааны агшингийн загвараар АШУҮИС-ийн Судалгааны Ёс Зүйн хяналтын хорооны зарчмуудыг баримтлан, 2021/З-07 тоот зөвшөөрлийн дагуу хийж гүйцэтгэлээ. Судалгааны үр дүнг статистикийн SPSS 25 программ ашиглан боловсруулав. </w:t>
      </w:r>
      <w:r w:rsidR="00D10E8D">
        <w:rPr>
          <w:rFonts w:cs="Arial"/>
          <w:color w:val="auto"/>
          <w:szCs w:val="24"/>
          <w:lang w:val="mn-MN"/>
        </w:rPr>
        <w:t xml:space="preserve"> </w:t>
      </w:r>
      <w:r w:rsidR="0081255C" w:rsidRPr="0081255C">
        <w:rPr>
          <w:rStyle w:val="Emphasis"/>
          <w:rFonts w:cs="Arial"/>
          <w:i w:val="0"/>
          <w:szCs w:val="24"/>
          <w:lang w:val="mn-MN"/>
        </w:rPr>
        <w:t xml:space="preserve">Шүдний өвчлөл ба буйл шүдний тулгуур эдийн байдлыг </w:t>
      </w:r>
      <w:r w:rsidR="0081255C" w:rsidRPr="0081255C">
        <w:rPr>
          <w:rStyle w:val="Emphasis"/>
          <w:rFonts w:cs="Arial"/>
          <w:i w:val="0"/>
          <w:szCs w:val="24"/>
          <w:lang w:val="mn-MN"/>
        </w:rPr>
        <w:lastRenderedPageBreak/>
        <w:t>тодорхойлохдоо шүдийг хуурайшуулан ажиглах болон бодит үзлэгийн аргаар үнэлгээ өгч, судалгааны онцлогт нийцүүлэн (ДЭМБ-ын 2013</w:t>
      </w:r>
      <w:r w:rsidR="00773D9D">
        <w:rPr>
          <w:rStyle w:val="Emphasis"/>
          <w:rFonts w:cs="Arial"/>
          <w:i w:val="0"/>
          <w:szCs w:val="24"/>
          <w:lang w:val="mn-MN"/>
        </w:rPr>
        <w:t xml:space="preserve"> </w:t>
      </w:r>
      <w:r w:rsidR="0081255C" w:rsidRPr="0081255C">
        <w:rPr>
          <w:rStyle w:val="Emphasis"/>
          <w:rFonts w:cs="Arial"/>
          <w:i w:val="0"/>
          <w:szCs w:val="24"/>
          <w:lang w:val="mn-MN"/>
        </w:rPr>
        <w:t>он) боловсруулсан үзлэгийн картад тэмдэглэлийг хөтөлсөн болно.</w:t>
      </w:r>
    </w:p>
    <w:p w14:paraId="2B3BD26C" w14:textId="42B796ED" w:rsidR="0081255C" w:rsidRPr="007C4F54" w:rsidRDefault="0081255C" w:rsidP="00D10E8D">
      <w:pPr>
        <w:pStyle w:val="ListParagraph"/>
        <w:spacing w:after="0" w:line="240" w:lineRule="auto"/>
        <w:ind w:left="0" w:firstLine="720"/>
        <w:rPr>
          <w:rFonts w:cs="Arial"/>
          <w:szCs w:val="24"/>
          <w:lang w:val="mn-MN"/>
        </w:rPr>
      </w:pPr>
      <w:r w:rsidRPr="00D10E8D">
        <w:rPr>
          <w:rFonts w:cs="Arial"/>
          <w:i/>
          <w:szCs w:val="24"/>
          <w:lang w:val="mn-MN"/>
        </w:rPr>
        <w:t>Зорилт 1</w:t>
      </w:r>
      <w:r>
        <w:rPr>
          <w:rFonts w:cs="Arial"/>
          <w:szCs w:val="24"/>
          <w:lang w:val="mn-MN"/>
        </w:rPr>
        <w:t>-и</w:t>
      </w:r>
      <w:r w:rsidR="007C4F54">
        <w:rPr>
          <w:rFonts w:cs="Arial"/>
          <w:szCs w:val="24"/>
          <w:lang w:val="mn-MN"/>
        </w:rPr>
        <w:t>йн хүрээнд ШЦӨ-ний тархалт, эрч</w:t>
      </w:r>
      <w:r>
        <w:rPr>
          <w:rFonts w:cs="Arial"/>
          <w:szCs w:val="24"/>
          <w:lang w:val="mn-MN"/>
        </w:rPr>
        <w:t>мийг тооцоход аши</w:t>
      </w:r>
      <w:r w:rsidR="007C4F54">
        <w:rPr>
          <w:rFonts w:cs="Arial"/>
          <w:szCs w:val="24"/>
          <w:lang w:val="mn-MN"/>
        </w:rPr>
        <w:t>гладаг стандарт томъёог хэрэглэж эрчмийг ДЭМБ-аас гаргасан 5 түвшингээр үнэлсэн</w:t>
      </w:r>
      <w:r>
        <w:rPr>
          <w:rFonts w:cs="Arial"/>
          <w:szCs w:val="24"/>
          <w:lang w:val="mn-MN"/>
        </w:rPr>
        <w:t xml:space="preserve">. </w:t>
      </w:r>
    </w:p>
    <w:p w14:paraId="3104309C" w14:textId="09B47578" w:rsidR="0081255C" w:rsidRPr="00A33C27" w:rsidRDefault="007C4F54" w:rsidP="00D10E8D">
      <w:pPr>
        <w:spacing w:line="240" w:lineRule="auto"/>
        <w:ind w:firstLine="720"/>
        <w:jc w:val="both"/>
        <w:rPr>
          <w:rFonts w:cs="Arial"/>
          <w:szCs w:val="24"/>
          <w:lang w:val="mn-MN"/>
        </w:rPr>
      </w:pPr>
      <w:r w:rsidRPr="00D10E8D">
        <w:rPr>
          <w:rFonts w:cs="Arial"/>
          <w:i/>
          <w:szCs w:val="24"/>
          <w:lang w:val="mn-MN"/>
        </w:rPr>
        <w:t>Зорилт 2</w:t>
      </w:r>
      <w:r>
        <w:rPr>
          <w:rFonts w:cs="Arial"/>
          <w:szCs w:val="24"/>
          <w:lang w:val="mn-MN"/>
        </w:rPr>
        <w:t>-ын хүрээнд б</w:t>
      </w:r>
      <w:r w:rsidR="0081255C" w:rsidRPr="00A33C27">
        <w:rPr>
          <w:rFonts w:cs="Arial"/>
          <w:szCs w:val="24"/>
          <w:lang w:val="mn-MN"/>
        </w:rPr>
        <w:t xml:space="preserve">уйл, шүдний тулгуур эдийн байдлыг үнэлэхдээ CPI (Community periodontal index ) үзүүлэлтээр тодорхойлон, байнгын шүдний зуултын үед 16, 11, </w:t>
      </w:r>
      <w:r>
        <w:rPr>
          <w:rFonts w:cs="Arial"/>
          <w:szCs w:val="24"/>
          <w:lang w:val="mn-MN"/>
        </w:rPr>
        <w:t>26, 36, 31, 46 дугаар шүднүүдэд</w:t>
      </w:r>
      <w:r w:rsidR="0081255C" w:rsidRPr="00A33C27">
        <w:rPr>
          <w:rFonts w:cs="Arial"/>
          <w:szCs w:val="24"/>
          <w:lang w:val="mn-MN"/>
        </w:rPr>
        <w:t>, сүүн шүдний болон холимог зуултын үед 55, 51, 65, 75 , 71, 85 дугаар шүднүүдийн ойролцоох тулгуур эдийг ү</w:t>
      </w:r>
      <w:r w:rsidR="00822739">
        <w:rPr>
          <w:rFonts w:cs="Arial"/>
          <w:szCs w:val="24"/>
          <w:lang w:val="mn-MN"/>
        </w:rPr>
        <w:t>зэн, 3 зэргээр үнэлэн үр дүнг</w:t>
      </w:r>
      <w:r w:rsidR="0081255C" w:rsidRPr="00A33C27">
        <w:rPr>
          <w:rFonts w:cs="Arial"/>
          <w:szCs w:val="24"/>
          <w:lang w:val="mn-MN"/>
        </w:rPr>
        <w:t xml:space="preserve"> тооцсон. </w:t>
      </w:r>
    </w:p>
    <w:p w14:paraId="1EEB8C6C" w14:textId="307D8D2A" w:rsidR="0081255C" w:rsidRDefault="007C4F54" w:rsidP="00D10E8D">
      <w:pPr>
        <w:spacing w:line="240" w:lineRule="auto"/>
        <w:ind w:firstLine="720"/>
        <w:jc w:val="both"/>
        <w:rPr>
          <w:rFonts w:cs="Arial"/>
          <w:szCs w:val="24"/>
          <w:lang w:val="mn-MN"/>
        </w:rPr>
      </w:pPr>
      <w:r w:rsidRPr="00D10E8D">
        <w:rPr>
          <w:rFonts w:cs="Arial"/>
          <w:i/>
          <w:szCs w:val="24"/>
          <w:lang w:val="mn-MN"/>
        </w:rPr>
        <w:t>Зорилт 3</w:t>
      </w:r>
      <w:r w:rsidRPr="007C4F54">
        <w:rPr>
          <w:rFonts w:cs="Arial"/>
          <w:szCs w:val="24"/>
          <w:lang w:val="mn-MN"/>
        </w:rPr>
        <w:t>-ын хүрээнд</w:t>
      </w:r>
      <w:r>
        <w:rPr>
          <w:rFonts w:cs="Arial"/>
          <w:b/>
          <w:szCs w:val="24"/>
          <w:lang w:val="mn-MN"/>
        </w:rPr>
        <w:t xml:space="preserve"> </w:t>
      </w:r>
      <w:r>
        <w:rPr>
          <w:rFonts w:cs="Arial"/>
          <w:szCs w:val="24"/>
          <w:lang w:val="mn-MN"/>
        </w:rPr>
        <w:t>амны хөндийн эрүүл ахуйн төл</w:t>
      </w:r>
      <w:r w:rsidR="002111E8">
        <w:rPr>
          <w:rFonts w:cs="Arial"/>
          <w:szCs w:val="24"/>
          <w:lang w:val="mn-MN"/>
        </w:rPr>
        <w:t>ө</w:t>
      </w:r>
      <w:r>
        <w:rPr>
          <w:rFonts w:cs="Arial"/>
          <w:szCs w:val="24"/>
          <w:lang w:val="mn-MN"/>
        </w:rPr>
        <w:t xml:space="preserve">вийг </w:t>
      </w:r>
      <w:r w:rsidR="0081255C" w:rsidRPr="00A33C27">
        <w:rPr>
          <w:rFonts w:cs="Arial"/>
          <w:szCs w:val="24"/>
          <w:lang w:val="mn-MN"/>
        </w:rPr>
        <w:t xml:space="preserve">Green Vermillion-ны аргаар </w:t>
      </w:r>
      <w:r>
        <w:rPr>
          <w:rFonts w:cs="Arial"/>
          <w:szCs w:val="24"/>
          <w:lang w:val="mn-MN"/>
        </w:rPr>
        <w:t>тодорхойлж 3</w:t>
      </w:r>
      <w:r w:rsidR="0081255C" w:rsidRPr="00A33C27">
        <w:rPr>
          <w:rFonts w:cs="Arial"/>
          <w:szCs w:val="24"/>
          <w:lang w:val="mn-MN"/>
        </w:rPr>
        <w:t xml:space="preserve"> зэргээр үнэлсэн. </w:t>
      </w:r>
    </w:p>
    <w:p w14:paraId="17283DF9" w14:textId="77777777" w:rsidR="00EA6710" w:rsidRPr="007C4F54" w:rsidRDefault="00EA6710" w:rsidP="00A52370">
      <w:pPr>
        <w:spacing w:line="240" w:lineRule="auto"/>
        <w:ind w:firstLine="0"/>
        <w:jc w:val="both"/>
        <w:rPr>
          <w:rFonts w:cs="Arial"/>
          <w:szCs w:val="24"/>
          <w:lang w:val="mn-MN"/>
        </w:rPr>
      </w:pPr>
    </w:p>
    <w:p w14:paraId="6BEA755A" w14:textId="77777777" w:rsidR="00D10E8D" w:rsidRDefault="00C15632" w:rsidP="00D10E8D">
      <w:pPr>
        <w:spacing w:line="240" w:lineRule="auto"/>
        <w:ind w:firstLine="720"/>
        <w:jc w:val="both"/>
        <w:rPr>
          <w:rFonts w:cs="Arial"/>
          <w:b/>
          <w:bCs/>
          <w:iCs/>
          <w:color w:val="auto"/>
          <w:szCs w:val="24"/>
          <w:lang w:val="mn-MN"/>
        </w:rPr>
      </w:pPr>
      <w:r w:rsidRPr="00CA0F7E">
        <w:rPr>
          <w:rFonts w:cs="Arial"/>
          <w:b/>
          <w:bCs/>
          <w:iCs/>
          <w:color w:val="auto"/>
          <w:szCs w:val="24"/>
          <w:lang w:val="mn-MN"/>
        </w:rPr>
        <w:t>Үр</w:t>
      </w:r>
      <w:r w:rsidR="00D10E8D">
        <w:rPr>
          <w:rFonts w:cs="Arial"/>
          <w:b/>
          <w:bCs/>
          <w:iCs/>
          <w:color w:val="auto"/>
          <w:szCs w:val="24"/>
          <w:lang w:val="mn-MN"/>
        </w:rPr>
        <w:t xml:space="preserve"> дүн</w:t>
      </w:r>
    </w:p>
    <w:p w14:paraId="237BE9B5" w14:textId="7F823FBF" w:rsidR="00B246B0" w:rsidRPr="00A52370" w:rsidRDefault="00C15632" w:rsidP="00D10E8D">
      <w:pPr>
        <w:spacing w:line="240" w:lineRule="auto"/>
        <w:ind w:firstLine="720"/>
        <w:jc w:val="both"/>
        <w:rPr>
          <w:rFonts w:cs="Arial"/>
          <w:b/>
          <w:bCs/>
          <w:iCs/>
          <w:color w:val="auto"/>
          <w:szCs w:val="24"/>
          <w:lang w:val="mn-MN"/>
        </w:rPr>
      </w:pPr>
      <w:r w:rsidRPr="000E722B">
        <w:rPr>
          <w:rFonts w:cs="Arial"/>
          <w:color w:val="auto"/>
          <w:szCs w:val="24"/>
          <w:lang w:val="mn-MN"/>
        </w:rPr>
        <w:t>Судалгаанд хамрагдсан ШГӨ-тэй</w:t>
      </w:r>
      <w:r w:rsidR="00077139">
        <w:rPr>
          <w:rFonts w:cs="Arial"/>
          <w:color w:val="auto"/>
          <w:szCs w:val="24"/>
          <w:lang w:val="mn-MN"/>
        </w:rPr>
        <w:t xml:space="preserve"> хүүхдийн дунд ШЦӨ-ний тархалт </w:t>
      </w:r>
      <w:r w:rsidRPr="000E722B">
        <w:rPr>
          <w:rFonts w:cs="Arial"/>
          <w:color w:val="auto"/>
          <w:szCs w:val="24"/>
          <w:lang w:val="mn-MN"/>
        </w:rPr>
        <w:t>их буюу холимог зуултын үед 95%, сүүн болон байнгын шүдний зуултын үе тус бүрд адил 100% байхад ШЦӨ-ний эрчим сүүн шүдний зуултын үед 7.30</w:t>
      </w:r>
      <m:oMath>
        <m:r>
          <w:rPr>
            <w:rFonts w:ascii="Cambria Math" w:hAnsi="Cambria Math" w:cs="Arial"/>
            <w:color w:val="auto"/>
            <w:szCs w:val="24"/>
            <w:lang w:val="mn-MN"/>
          </w:rPr>
          <m:t>±</m:t>
        </m:r>
      </m:oMath>
      <w:r w:rsidRPr="000E722B">
        <w:rPr>
          <w:rFonts w:eastAsiaTheme="minorEastAsia" w:cs="Arial"/>
          <w:color w:val="auto"/>
          <w:szCs w:val="24"/>
          <w:lang w:val="mn-MN"/>
        </w:rPr>
        <w:t>4.64 цла/ш, холимог зуултын үед 7.30</w:t>
      </w:r>
      <m:oMath>
        <m:r>
          <w:rPr>
            <w:rFonts w:ascii="Cambria Math" w:hAnsi="Cambria Math" w:cs="Arial"/>
            <w:color w:val="auto"/>
            <w:szCs w:val="24"/>
            <w:lang w:val="mn-MN"/>
          </w:rPr>
          <m:t>±</m:t>
        </m:r>
      </m:oMath>
      <w:r w:rsidR="00051F63">
        <w:rPr>
          <w:rFonts w:eastAsiaTheme="minorEastAsia" w:cs="Arial"/>
          <w:color w:val="auto"/>
          <w:szCs w:val="24"/>
          <w:lang w:val="mn-MN"/>
        </w:rPr>
        <w:t>3.46 цл</w:t>
      </w:r>
      <w:r w:rsidRPr="000E722B">
        <w:rPr>
          <w:rFonts w:eastAsiaTheme="minorEastAsia" w:cs="Arial"/>
          <w:color w:val="auto"/>
          <w:szCs w:val="24"/>
          <w:lang w:val="mn-MN"/>
        </w:rPr>
        <w:t>/ш+цла/ш, байнгын шүдний зуултын үед 11.29</w:t>
      </w:r>
      <m:oMath>
        <m:r>
          <w:rPr>
            <w:rFonts w:ascii="Cambria Math" w:hAnsi="Cambria Math" w:cs="Arial"/>
            <w:color w:val="auto"/>
            <w:szCs w:val="24"/>
            <w:lang w:val="mn-MN"/>
          </w:rPr>
          <m:t>±</m:t>
        </m:r>
      </m:oMath>
      <w:r w:rsidR="00077139">
        <w:rPr>
          <w:rFonts w:eastAsiaTheme="minorEastAsia" w:cs="Arial"/>
          <w:color w:val="auto"/>
          <w:szCs w:val="24"/>
          <w:lang w:val="mn-MN"/>
        </w:rPr>
        <w:t>4.13 цла</w:t>
      </w:r>
      <w:r w:rsidRPr="000E722B">
        <w:rPr>
          <w:rFonts w:eastAsiaTheme="minorEastAsia" w:cs="Arial"/>
          <w:color w:val="auto"/>
          <w:szCs w:val="24"/>
          <w:lang w:val="mn-MN"/>
        </w:rPr>
        <w:t xml:space="preserve">/ш буюу </w:t>
      </w:r>
      <w:r w:rsidR="00B246B0">
        <w:rPr>
          <w:rFonts w:eastAsiaTheme="minorEastAsia" w:cs="Arial"/>
          <w:color w:val="auto"/>
          <w:szCs w:val="24"/>
          <w:lang w:val="mn-MN"/>
        </w:rPr>
        <w:t xml:space="preserve">ДЭМБ-ын үнэлгээгээр </w:t>
      </w:r>
      <w:r w:rsidRPr="000E722B">
        <w:rPr>
          <w:rFonts w:eastAsiaTheme="minorEastAsia" w:cs="Arial"/>
          <w:color w:val="auto"/>
          <w:szCs w:val="24"/>
          <w:lang w:val="mn-MN"/>
        </w:rPr>
        <w:t>маш өндөр түвшинд</w:t>
      </w:r>
      <w:r w:rsidR="00EA6710">
        <w:rPr>
          <w:rFonts w:eastAsiaTheme="minorEastAsia" w:cs="Arial"/>
          <w:color w:val="auto"/>
          <w:szCs w:val="24"/>
          <w:lang w:val="mn-MN"/>
        </w:rPr>
        <w:t xml:space="preserve"> байв </w:t>
      </w:r>
      <w:r w:rsidR="00B246B0">
        <w:rPr>
          <w:rFonts w:eastAsiaTheme="minorEastAsia" w:cs="Arial"/>
          <w:color w:val="auto"/>
          <w:szCs w:val="24"/>
        </w:rPr>
        <w:t>(</w:t>
      </w:r>
      <w:r w:rsidR="00EA6710">
        <w:rPr>
          <w:rFonts w:eastAsiaTheme="minorEastAsia" w:cs="Arial"/>
          <w:color w:val="auto"/>
          <w:szCs w:val="24"/>
          <w:lang w:val="mn-MN"/>
        </w:rPr>
        <w:t>Хүснэгт</w:t>
      </w:r>
      <w:r w:rsidR="002054C7">
        <w:rPr>
          <w:rFonts w:eastAsiaTheme="minorEastAsia" w:cs="Arial"/>
          <w:color w:val="auto"/>
          <w:szCs w:val="24"/>
        </w:rPr>
        <w:t>1</w:t>
      </w:r>
      <w:r w:rsidR="00B246B0">
        <w:rPr>
          <w:rFonts w:eastAsiaTheme="minorEastAsia" w:cs="Arial"/>
          <w:color w:val="auto"/>
          <w:szCs w:val="24"/>
        </w:rPr>
        <w:t>)</w:t>
      </w:r>
      <w:r w:rsidR="002054C7">
        <w:rPr>
          <w:rFonts w:eastAsiaTheme="minorEastAsia" w:cs="Arial"/>
          <w:color w:val="auto"/>
          <w:szCs w:val="24"/>
          <w:lang w:val="mn-MN"/>
        </w:rPr>
        <w:t>.</w:t>
      </w:r>
    </w:p>
    <w:p w14:paraId="63C18F15" w14:textId="77777777" w:rsidR="00B246B0" w:rsidRDefault="00B246B0" w:rsidP="00DF5D53">
      <w:pPr>
        <w:spacing w:line="240" w:lineRule="auto"/>
        <w:ind w:firstLine="0"/>
        <w:jc w:val="both"/>
        <w:rPr>
          <w:rFonts w:eastAsiaTheme="minorEastAsia" w:cs="Arial"/>
          <w:color w:val="auto"/>
          <w:szCs w:val="24"/>
        </w:rPr>
      </w:pPr>
    </w:p>
    <w:p w14:paraId="3B68AADA" w14:textId="37FF74B1" w:rsidR="00CA0F7E" w:rsidRPr="00D10E8D" w:rsidRDefault="00D10E8D" w:rsidP="00D10E8D">
      <w:pPr>
        <w:spacing w:line="240" w:lineRule="auto"/>
        <w:ind w:firstLine="0"/>
        <w:jc w:val="both"/>
        <w:rPr>
          <w:rFonts w:cs="Arial"/>
          <w:bCs/>
          <w:color w:val="auto"/>
          <w:szCs w:val="24"/>
          <w:lang w:val="mn-MN"/>
        </w:rPr>
      </w:pPr>
      <w:r w:rsidRPr="00D10E8D">
        <w:rPr>
          <w:rFonts w:cs="Arial"/>
          <w:b/>
          <w:bCs/>
          <w:color w:val="auto"/>
          <w:szCs w:val="24"/>
          <w:lang w:val="mn-MN"/>
        </w:rPr>
        <w:t>Хүснэгт 1</w:t>
      </w:r>
      <w:r>
        <w:rPr>
          <w:rFonts w:cs="Arial"/>
          <w:b/>
          <w:bCs/>
          <w:color w:val="auto"/>
          <w:szCs w:val="24"/>
          <w:lang w:val="mn-MN"/>
        </w:rPr>
        <w:t xml:space="preserve">. </w:t>
      </w:r>
      <w:r w:rsidR="00B246B0" w:rsidRPr="00D10E8D">
        <w:rPr>
          <w:rFonts w:cs="Arial"/>
          <w:bCs/>
          <w:color w:val="auto"/>
          <w:szCs w:val="24"/>
          <w:lang w:val="mn-MN"/>
        </w:rPr>
        <w:t xml:space="preserve">ШЦӨ-ний </w:t>
      </w:r>
      <w:r w:rsidR="00077139" w:rsidRPr="00D10E8D">
        <w:rPr>
          <w:rFonts w:cs="Arial"/>
          <w:bCs/>
          <w:color w:val="auto"/>
          <w:szCs w:val="24"/>
          <w:lang w:val="mn-MN"/>
        </w:rPr>
        <w:t xml:space="preserve">эрчмийн үзүүлэлтийг зуултын </w:t>
      </w:r>
      <w:r w:rsidR="002C3B35" w:rsidRPr="00D10E8D">
        <w:rPr>
          <w:rFonts w:cs="Arial"/>
          <w:bCs/>
          <w:color w:val="auto"/>
          <w:szCs w:val="24"/>
          <w:lang w:val="mn-MN"/>
        </w:rPr>
        <w:t>байдлаар</w:t>
      </w:r>
      <w:r w:rsidR="00B246B0" w:rsidRPr="00D10E8D">
        <w:rPr>
          <w:rFonts w:cs="Arial"/>
          <w:bCs/>
          <w:color w:val="auto"/>
          <w:szCs w:val="24"/>
          <w:lang w:val="mn-MN"/>
        </w:rPr>
        <w:t xml:space="preserve"> ангилан судалсан дүн</w:t>
      </w:r>
    </w:p>
    <w:tbl>
      <w:tblPr>
        <w:tblStyle w:val="TableGrid"/>
        <w:tblW w:w="9344" w:type="dxa"/>
        <w:tblInd w:w="108" w:type="dxa"/>
        <w:tblLook w:val="04A0" w:firstRow="1" w:lastRow="0" w:firstColumn="1" w:lastColumn="0" w:noHBand="0" w:noVBand="1"/>
      </w:tblPr>
      <w:tblGrid>
        <w:gridCol w:w="2530"/>
        <w:gridCol w:w="2064"/>
        <w:gridCol w:w="2489"/>
        <w:gridCol w:w="2261"/>
      </w:tblGrid>
      <w:tr w:rsidR="00B246B0" w:rsidRPr="000E722B" w14:paraId="4EA05BC2" w14:textId="77777777" w:rsidTr="00D10E8D">
        <w:trPr>
          <w:trHeight w:val="362"/>
        </w:trPr>
        <w:tc>
          <w:tcPr>
            <w:tcW w:w="2530" w:type="dxa"/>
            <w:tcBorders>
              <w:top w:val="single" w:sz="2" w:space="0" w:color="000000"/>
              <w:left w:val="nil"/>
              <w:bottom w:val="single" w:sz="2" w:space="0" w:color="000000"/>
              <w:right w:val="nil"/>
            </w:tcBorders>
          </w:tcPr>
          <w:p w14:paraId="396F3A99" w14:textId="3F8F7980" w:rsidR="00B246B0" w:rsidRPr="000E722B" w:rsidRDefault="00B246B0" w:rsidP="00D10E8D">
            <w:pPr>
              <w:spacing w:line="240" w:lineRule="auto"/>
              <w:ind w:firstLine="0"/>
              <w:rPr>
                <w:rFonts w:cs="Arial"/>
                <w:b/>
                <w:bCs/>
                <w:color w:val="auto"/>
                <w:szCs w:val="24"/>
                <w:lang w:val="mn-MN"/>
              </w:rPr>
            </w:pPr>
            <w:r w:rsidRPr="000E722B">
              <w:rPr>
                <w:rFonts w:cs="Arial"/>
                <w:b/>
                <w:bCs/>
                <w:color w:val="auto"/>
                <w:szCs w:val="24"/>
                <w:lang w:val="mn-MN"/>
              </w:rPr>
              <w:t xml:space="preserve">Зуултын </w:t>
            </w:r>
            <w:r w:rsidR="002C3B35">
              <w:rPr>
                <w:rFonts w:cs="Arial"/>
                <w:b/>
                <w:bCs/>
                <w:color w:val="auto"/>
                <w:szCs w:val="24"/>
                <w:lang w:val="mn-MN"/>
              </w:rPr>
              <w:t xml:space="preserve">         </w:t>
            </w:r>
            <w:r w:rsidRPr="000E722B">
              <w:rPr>
                <w:rFonts w:cs="Arial"/>
                <w:b/>
                <w:bCs/>
                <w:color w:val="auto"/>
                <w:szCs w:val="24"/>
                <w:lang w:val="mn-MN"/>
              </w:rPr>
              <w:t>байдал</w:t>
            </w:r>
          </w:p>
        </w:tc>
        <w:tc>
          <w:tcPr>
            <w:tcW w:w="2064" w:type="dxa"/>
            <w:tcBorders>
              <w:top w:val="single" w:sz="2" w:space="0" w:color="000000"/>
              <w:left w:val="nil"/>
              <w:bottom w:val="single" w:sz="2" w:space="0" w:color="000000"/>
              <w:right w:val="nil"/>
            </w:tcBorders>
          </w:tcPr>
          <w:p w14:paraId="7B27CB68" w14:textId="6D4B5EFB" w:rsidR="00B246B0" w:rsidRPr="000E722B" w:rsidRDefault="002C3B35" w:rsidP="00DF5D53">
            <w:pPr>
              <w:spacing w:line="240" w:lineRule="auto"/>
              <w:rPr>
                <w:rFonts w:cs="Arial"/>
                <w:b/>
                <w:bCs/>
                <w:color w:val="auto"/>
                <w:szCs w:val="24"/>
                <w:lang w:val="mn-MN"/>
              </w:rPr>
            </w:pPr>
            <w:r>
              <w:rPr>
                <w:rFonts w:cs="Arial"/>
                <w:b/>
                <w:bCs/>
                <w:color w:val="auto"/>
                <w:szCs w:val="24"/>
                <w:lang w:val="mn-MN"/>
              </w:rPr>
              <w:t xml:space="preserve">         </w:t>
            </w:r>
            <w:r w:rsidR="00B246B0" w:rsidRPr="000E722B">
              <w:rPr>
                <w:rFonts w:cs="Arial"/>
                <w:b/>
                <w:bCs/>
                <w:color w:val="auto"/>
                <w:szCs w:val="24"/>
                <w:lang w:val="mn-MN"/>
              </w:rPr>
              <w:t>n</w:t>
            </w:r>
          </w:p>
        </w:tc>
        <w:tc>
          <w:tcPr>
            <w:tcW w:w="2489" w:type="dxa"/>
            <w:tcBorders>
              <w:top w:val="single" w:sz="2" w:space="0" w:color="000000"/>
              <w:left w:val="nil"/>
              <w:bottom w:val="single" w:sz="2" w:space="0" w:color="000000"/>
              <w:right w:val="nil"/>
            </w:tcBorders>
          </w:tcPr>
          <w:p w14:paraId="40B34E17" w14:textId="77777777" w:rsidR="00B246B0" w:rsidRPr="000E722B" w:rsidRDefault="00B246B0" w:rsidP="00DF5D53">
            <w:pPr>
              <w:spacing w:line="240" w:lineRule="auto"/>
              <w:rPr>
                <w:rFonts w:cs="Arial"/>
                <w:b/>
                <w:bCs/>
                <w:color w:val="auto"/>
                <w:szCs w:val="24"/>
                <w:lang w:val="mn-MN"/>
              </w:rPr>
            </w:pPr>
            <w:r w:rsidRPr="000E722B">
              <w:rPr>
                <w:rFonts w:cs="Arial"/>
                <w:b/>
                <w:bCs/>
                <w:color w:val="auto"/>
                <w:szCs w:val="24"/>
                <w:lang w:val="mn-MN"/>
              </w:rPr>
              <w:t>ШЦӨ-ний</w:t>
            </w:r>
          </w:p>
          <w:p w14:paraId="39C7A531" w14:textId="77777777" w:rsidR="00B246B0" w:rsidRPr="000E722B" w:rsidRDefault="00B246B0" w:rsidP="00DF5D53">
            <w:pPr>
              <w:spacing w:line="240" w:lineRule="auto"/>
              <w:rPr>
                <w:rFonts w:cs="Arial"/>
                <w:b/>
                <w:bCs/>
                <w:color w:val="auto"/>
                <w:szCs w:val="24"/>
                <w:lang w:val="mn-MN"/>
              </w:rPr>
            </w:pPr>
            <w:r w:rsidRPr="000E722B">
              <w:rPr>
                <w:rFonts w:cs="Arial"/>
                <w:b/>
                <w:bCs/>
                <w:color w:val="auto"/>
                <w:szCs w:val="24"/>
                <w:lang w:val="mn-MN"/>
              </w:rPr>
              <w:t>эрчим</w:t>
            </w:r>
          </w:p>
        </w:tc>
        <w:tc>
          <w:tcPr>
            <w:tcW w:w="2261" w:type="dxa"/>
            <w:tcBorders>
              <w:top w:val="single" w:sz="2" w:space="0" w:color="000000"/>
              <w:left w:val="nil"/>
              <w:bottom w:val="single" w:sz="2" w:space="0" w:color="000000"/>
              <w:right w:val="nil"/>
            </w:tcBorders>
          </w:tcPr>
          <w:p w14:paraId="3B1924AA" w14:textId="77777777" w:rsidR="00B246B0" w:rsidRPr="000E722B" w:rsidRDefault="00B246B0" w:rsidP="00DF5D53">
            <w:pPr>
              <w:spacing w:line="240" w:lineRule="auto"/>
              <w:rPr>
                <w:rFonts w:cs="Arial"/>
                <w:b/>
                <w:bCs/>
                <w:color w:val="auto"/>
                <w:szCs w:val="24"/>
                <w:lang w:val="mn-MN"/>
              </w:rPr>
            </w:pPr>
            <w:r w:rsidRPr="000E722B">
              <w:rPr>
                <w:rFonts w:cs="Arial"/>
                <w:b/>
                <w:bCs/>
                <w:color w:val="auto"/>
                <w:szCs w:val="24"/>
                <w:lang w:val="mn-MN"/>
              </w:rPr>
              <w:t>ДЭМБ-ын шалгуур түвшин</w:t>
            </w:r>
          </w:p>
        </w:tc>
      </w:tr>
      <w:tr w:rsidR="00B246B0" w:rsidRPr="000E722B" w14:paraId="76175852" w14:textId="77777777" w:rsidTr="00D10E8D">
        <w:trPr>
          <w:trHeight w:val="296"/>
        </w:trPr>
        <w:tc>
          <w:tcPr>
            <w:tcW w:w="2530" w:type="dxa"/>
            <w:tcBorders>
              <w:top w:val="single" w:sz="2" w:space="0" w:color="000000"/>
              <w:left w:val="nil"/>
              <w:bottom w:val="nil"/>
              <w:right w:val="nil"/>
            </w:tcBorders>
          </w:tcPr>
          <w:p w14:paraId="78ECFEAF" w14:textId="77777777" w:rsidR="00B246B0" w:rsidRPr="000E722B" w:rsidRDefault="00B246B0" w:rsidP="00DF5D53">
            <w:pPr>
              <w:spacing w:line="240" w:lineRule="auto"/>
              <w:ind w:firstLine="0"/>
              <w:rPr>
                <w:rFonts w:cs="Arial"/>
                <w:color w:val="auto"/>
                <w:szCs w:val="24"/>
                <w:lang w:val="mn-MN"/>
              </w:rPr>
            </w:pPr>
            <w:r w:rsidRPr="000E722B">
              <w:rPr>
                <w:rFonts w:cs="Arial"/>
                <w:color w:val="auto"/>
                <w:szCs w:val="24"/>
                <w:lang w:val="mn-MN"/>
              </w:rPr>
              <w:t>Сүүн шүдний зуулт</w:t>
            </w:r>
          </w:p>
        </w:tc>
        <w:tc>
          <w:tcPr>
            <w:tcW w:w="2064" w:type="dxa"/>
            <w:tcBorders>
              <w:top w:val="single" w:sz="2" w:space="0" w:color="000000"/>
              <w:left w:val="nil"/>
              <w:bottom w:val="nil"/>
              <w:right w:val="nil"/>
            </w:tcBorders>
          </w:tcPr>
          <w:p w14:paraId="36F37E47" w14:textId="77777777" w:rsidR="00B246B0" w:rsidRPr="000E722B" w:rsidRDefault="00B246B0" w:rsidP="00DF5D53">
            <w:pPr>
              <w:spacing w:line="240" w:lineRule="auto"/>
              <w:jc w:val="center"/>
              <w:rPr>
                <w:rFonts w:cs="Arial"/>
                <w:color w:val="auto"/>
                <w:szCs w:val="24"/>
                <w:lang w:val="mn-MN"/>
              </w:rPr>
            </w:pPr>
            <w:r w:rsidRPr="000E722B">
              <w:rPr>
                <w:rFonts w:cs="Arial"/>
                <w:color w:val="auto"/>
                <w:szCs w:val="24"/>
                <w:lang w:val="mn-MN"/>
              </w:rPr>
              <w:t>10</w:t>
            </w:r>
          </w:p>
        </w:tc>
        <w:tc>
          <w:tcPr>
            <w:tcW w:w="2489" w:type="dxa"/>
            <w:tcBorders>
              <w:top w:val="single" w:sz="2" w:space="0" w:color="000000"/>
              <w:left w:val="nil"/>
              <w:bottom w:val="nil"/>
              <w:right w:val="nil"/>
            </w:tcBorders>
          </w:tcPr>
          <w:p w14:paraId="364049A1" w14:textId="43931375" w:rsidR="00B246B0" w:rsidRPr="000E722B" w:rsidRDefault="002C3B35" w:rsidP="002C3B35">
            <w:pPr>
              <w:spacing w:line="240" w:lineRule="auto"/>
              <w:ind w:firstLine="0"/>
              <w:rPr>
                <w:rFonts w:cs="Arial"/>
                <w:color w:val="auto"/>
                <w:szCs w:val="24"/>
                <w:lang w:val="mn-MN"/>
              </w:rPr>
            </w:pPr>
            <w:r>
              <w:rPr>
                <w:rFonts w:cs="Arial"/>
                <w:color w:val="auto"/>
                <w:szCs w:val="24"/>
                <w:lang w:val="mn-MN"/>
              </w:rPr>
              <w:t xml:space="preserve">        </w:t>
            </w:r>
            <w:r w:rsidR="00B246B0" w:rsidRPr="000E722B">
              <w:rPr>
                <w:rFonts w:cs="Arial"/>
                <w:color w:val="auto"/>
                <w:szCs w:val="24"/>
                <w:lang w:val="mn-MN"/>
              </w:rPr>
              <w:t>7.30</w:t>
            </w:r>
            <w:r w:rsidR="00B246B0" w:rsidRPr="000E722B">
              <w:rPr>
                <w:rFonts w:cs="Arial"/>
                <w:color w:val="auto"/>
                <w:szCs w:val="24"/>
                <w:lang w:val="mn-MN"/>
              </w:rPr>
              <w:sym w:font="Symbol" w:char="F0B1"/>
            </w:r>
            <w:r w:rsidR="00B246B0" w:rsidRPr="000E722B">
              <w:rPr>
                <w:rFonts w:cs="Arial"/>
                <w:color w:val="auto"/>
                <w:szCs w:val="24"/>
                <w:lang w:val="mn-MN"/>
              </w:rPr>
              <w:t xml:space="preserve">4.64 </w:t>
            </w:r>
          </w:p>
        </w:tc>
        <w:tc>
          <w:tcPr>
            <w:tcW w:w="2261" w:type="dxa"/>
            <w:tcBorders>
              <w:top w:val="single" w:sz="2" w:space="0" w:color="000000"/>
              <w:left w:val="nil"/>
              <w:bottom w:val="nil"/>
              <w:right w:val="nil"/>
            </w:tcBorders>
          </w:tcPr>
          <w:p w14:paraId="5B55652D" w14:textId="2D5E7AA6" w:rsidR="00B246B0" w:rsidRPr="000E722B" w:rsidRDefault="002C3B35" w:rsidP="002C3B35">
            <w:pPr>
              <w:spacing w:line="240" w:lineRule="auto"/>
              <w:ind w:firstLine="0"/>
              <w:rPr>
                <w:rFonts w:cs="Arial"/>
                <w:color w:val="auto"/>
                <w:szCs w:val="24"/>
                <w:lang w:val="mn-MN"/>
              </w:rPr>
            </w:pPr>
            <w:r>
              <w:rPr>
                <w:rFonts w:cs="Arial"/>
                <w:color w:val="auto"/>
                <w:szCs w:val="24"/>
                <w:lang w:val="mn-MN"/>
              </w:rPr>
              <w:t xml:space="preserve">     </w:t>
            </w:r>
            <w:r w:rsidR="00B246B0" w:rsidRPr="000E722B">
              <w:rPr>
                <w:rFonts w:cs="Arial"/>
                <w:color w:val="auto"/>
                <w:szCs w:val="24"/>
                <w:lang w:val="mn-MN"/>
              </w:rPr>
              <w:t>маш өндөр</w:t>
            </w:r>
          </w:p>
        </w:tc>
      </w:tr>
      <w:tr w:rsidR="00B246B0" w:rsidRPr="000E722B" w14:paraId="48412B70" w14:textId="77777777" w:rsidTr="00D10E8D">
        <w:trPr>
          <w:trHeight w:val="275"/>
        </w:trPr>
        <w:tc>
          <w:tcPr>
            <w:tcW w:w="2530" w:type="dxa"/>
            <w:tcBorders>
              <w:top w:val="nil"/>
              <w:left w:val="nil"/>
              <w:bottom w:val="nil"/>
              <w:right w:val="nil"/>
            </w:tcBorders>
          </w:tcPr>
          <w:p w14:paraId="78A42DFB" w14:textId="77777777" w:rsidR="00B246B0" w:rsidRPr="000E722B" w:rsidRDefault="00B246B0" w:rsidP="00DF5D53">
            <w:pPr>
              <w:spacing w:line="240" w:lineRule="auto"/>
              <w:ind w:firstLine="0"/>
              <w:rPr>
                <w:rFonts w:cs="Arial"/>
                <w:color w:val="auto"/>
                <w:szCs w:val="24"/>
                <w:lang w:val="mn-MN"/>
              </w:rPr>
            </w:pPr>
            <w:r w:rsidRPr="000E722B">
              <w:rPr>
                <w:rFonts w:cs="Arial"/>
                <w:color w:val="auto"/>
                <w:szCs w:val="24"/>
                <w:lang w:val="mn-MN"/>
              </w:rPr>
              <w:t xml:space="preserve">Холимог зуулт </w:t>
            </w:r>
          </w:p>
        </w:tc>
        <w:tc>
          <w:tcPr>
            <w:tcW w:w="2064" w:type="dxa"/>
            <w:tcBorders>
              <w:top w:val="nil"/>
              <w:left w:val="nil"/>
              <w:bottom w:val="nil"/>
              <w:right w:val="nil"/>
            </w:tcBorders>
          </w:tcPr>
          <w:p w14:paraId="4D85017A" w14:textId="77777777" w:rsidR="00B246B0" w:rsidRPr="000E722B" w:rsidRDefault="00B246B0" w:rsidP="00DF5D53">
            <w:pPr>
              <w:spacing w:line="240" w:lineRule="auto"/>
              <w:jc w:val="center"/>
              <w:rPr>
                <w:rFonts w:cs="Arial"/>
                <w:color w:val="auto"/>
                <w:szCs w:val="24"/>
                <w:lang w:val="mn-MN"/>
              </w:rPr>
            </w:pPr>
            <w:r w:rsidRPr="000E722B">
              <w:rPr>
                <w:rFonts w:cs="Arial"/>
                <w:color w:val="auto"/>
                <w:szCs w:val="24"/>
                <w:lang w:val="mn-MN"/>
              </w:rPr>
              <w:t>23</w:t>
            </w:r>
          </w:p>
        </w:tc>
        <w:tc>
          <w:tcPr>
            <w:tcW w:w="2489" w:type="dxa"/>
            <w:tcBorders>
              <w:top w:val="nil"/>
              <w:left w:val="nil"/>
              <w:bottom w:val="nil"/>
              <w:right w:val="nil"/>
            </w:tcBorders>
          </w:tcPr>
          <w:p w14:paraId="02967293" w14:textId="4AA60A51" w:rsidR="00B246B0" w:rsidRPr="000E722B" w:rsidRDefault="002C3B35" w:rsidP="002C3B35">
            <w:pPr>
              <w:spacing w:line="240" w:lineRule="auto"/>
              <w:ind w:firstLine="0"/>
              <w:rPr>
                <w:rFonts w:cs="Arial"/>
                <w:color w:val="auto"/>
                <w:szCs w:val="24"/>
                <w:lang w:val="mn-MN"/>
              </w:rPr>
            </w:pPr>
            <w:r>
              <w:rPr>
                <w:rFonts w:cs="Arial"/>
                <w:color w:val="auto"/>
                <w:szCs w:val="24"/>
                <w:lang w:val="mn-MN"/>
              </w:rPr>
              <w:t xml:space="preserve">        </w:t>
            </w:r>
            <w:r w:rsidR="00B246B0" w:rsidRPr="000E722B">
              <w:rPr>
                <w:rFonts w:cs="Arial"/>
                <w:color w:val="auto"/>
                <w:szCs w:val="24"/>
                <w:lang w:val="mn-MN"/>
              </w:rPr>
              <w:t>7.30</w:t>
            </w:r>
            <w:r w:rsidR="00B246B0" w:rsidRPr="000E722B">
              <w:rPr>
                <w:rFonts w:cs="Arial"/>
                <w:color w:val="auto"/>
                <w:szCs w:val="24"/>
                <w:lang w:val="mn-MN"/>
              </w:rPr>
              <w:sym w:font="Symbol" w:char="F0B1"/>
            </w:r>
            <w:r w:rsidR="00B246B0" w:rsidRPr="000E722B">
              <w:rPr>
                <w:rFonts w:cs="Arial"/>
                <w:color w:val="auto"/>
                <w:szCs w:val="24"/>
                <w:lang w:val="mn-MN"/>
              </w:rPr>
              <w:t xml:space="preserve">3.46 </w:t>
            </w:r>
          </w:p>
        </w:tc>
        <w:tc>
          <w:tcPr>
            <w:tcW w:w="2261" w:type="dxa"/>
            <w:tcBorders>
              <w:top w:val="nil"/>
              <w:left w:val="nil"/>
              <w:bottom w:val="nil"/>
              <w:right w:val="nil"/>
            </w:tcBorders>
          </w:tcPr>
          <w:p w14:paraId="60B62F4B" w14:textId="1C93FDAF" w:rsidR="00B246B0" w:rsidRPr="000E722B" w:rsidRDefault="002C3B35" w:rsidP="002C3B35">
            <w:pPr>
              <w:spacing w:line="240" w:lineRule="auto"/>
              <w:ind w:firstLine="0"/>
              <w:rPr>
                <w:rFonts w:cs="Arial"/>
                <w:color w:val="auto"/>
                <w:szCs w:val="24"/>
                <w:lang w:val="mn-MN"/>
              </w:rPr>
            </w:pPr>
            <w:r>
              <w:rPr>
                <w:rFonts w:cs="Arial"/>
                <w:color w:val="auto"/>
                <w:szCs w:val="24"/>
                <w:lang w:val="mn-MN"/>
              </w:rPr>
              <w:t xml:space="preserve">     </w:t>
            </w:r>
            <w:r w:rsidR="00B246B0" w:rsidRPr="000E722B">
              <w:rPr>
                <w:rFonts w:cs="Arial"/>
                <w:color w:val="auto"/>
                <w:szCs w:val="24"/>
                <w:lang w:val="mn-MN"/>
              </w:rPr>
              <w:t>маш өндөр</w:t>
            </w:r>
          </w:p>
        </w:tc>
      </w:tr>
      <w:tr w:rsidR="00B246B0" w:rsidRPr="000E722B" w14:paraId="579F0DF8" w14:textId="77777777" w:rsidTr="00D10E8D">
        <w:trPr>
          <w:trHeight w:val="296"/>
        </w:trPr>
        <w:tc>
          <w:tcPr>
            <w:tcW w:w="2530" w:type="dxa"/>
            <w:tcBorders>
              <w:top w:val="nil"/>
              <w:left w:val="nil"/>
              <w:bottom w:val="single" w:sz="2" w:space="0" w:color="000000"/>
              <w:right w:val="nil"/>
            </w:tcBorders>
          </w:tcPr>
          <w:p w14:paraId="072C3458" w14:textId="77777777" w:rsidR="00B246B0" w:rsidRPr="000E722B" w:rsidRDefault="00B246B0" w:rsidP="00DF5D53">
            <w:pPr>
              <w:spacing w:line="240" w:lineRule="auto"/>
              <w:ind w:firstLine="0"/>
              <w:rPr>
                <w:rFonts w:cs="Arial"/>
                <w:color w:val="auto"/>
                <w:szCs w:val="24"/>
                <w:lang w:val="mn-MN"/>
              </w:rPr>
            </w:pPr>
            <w:r w:rsidRPr="000E722B">
              <w:rPr>
                <w:rFonts w:cs="Arial"/>
                <w:color w:val="auto"/>
                <w:szCs w:val="24"/>
                <w:lang w:val="mn-MN"/>
              </w:rPr>
              <w:t>Байнгын шүдний зуулт</w:t>
            </w:r>
          </w:p>
        </w:tc>
        <w:tc>
          <w:tcPr>
            <w:tcW w:w="2064" w:type="dxa"/>
            <w:tcBorders>
              <w:top w:val="nil"/>
              <w:left w:val="nil"/>
              <w:bottom w:val="single" w:sz="2" w:space="0" w:color="000000"/>
              <w:right w:val="nil"/>
            </w:tcBorders>
          </w:tcPr>
          <w:p w14:paraId="45E0C07A" w14:textId="77777777" w:rsidR="00B246B0" w:rsidRPr="000E722B" w:rsidRDefault="00B246B0" w:rsidP="00DF5D53">
            <w:pPr>
              <w:spacing w:line="240" w:lineRule="auto"/>
              <w:jc w:val="center"/>
              <w:rPr>
                <w:rFonts w:cs="Arial"/>
                <w:color w:val="auto"/>
                <w:szCs w:val="24"/>
                <w:lang w:val="mn-MN"/>
              </w:rPr>
            </w:pPr>
            <w:r w:rsidRPr="000E722B">
              <w:rPr>
                <w:rFonts w:cs="Arial"/>
                <w:color w:val="auto"/>
                <w:szCs w:val="24"/>
                <w:lang w:val="mn-MN"/>
              </w:rPr>
              <w:t>17</w:t>
            </w:r>
          </w:p>
        </w:tc>
        <w:tc>
          <w:tcPr>
            <w:tcW w:w="2489" w:type="dxa"/>
            <w:tcBorders>
              <w:top w:val="nil"/>
              <w:left w:val="nil"/>
              <w:bottom w:val="single" w:sz="2" w:space="0" w:color="000000"/>
              <w:right w:val="nil"/>
            </w:tcBorders>
          </w:tcPr>
          <w:p w14:paraId="5A44DE1D" w14:textId="5324E698" w:rsidR="00B246B0" w:rsidRPr="000E722B" w:rsidRDefault="002C3B35" w:rsidP="002C3B35">
            <w:pPr>
              <w:spacing w:line="240" w:lineRule="auto"/>
              <w:ind w:firstLine="0"/>
              <w:rPr>
                <w:rFonts w:cs="Arial"/>
                <w:color w:val="auto"/>
                <w:szCs w:val="24"/>
                <w:lang w:val="mn-MN"/>
              </w:rPr>
            </w:pPr>
            <w:r>
              <w:rPr>
                <w:rFonts w:cs="Arial"/>
                <w:color w:val="auto"/>
                <w:szCs w:val="24"/>
                <w:lang w:val="mn-MN"/>
              </w:rPr>
              <w:t xml:space="preserve">       </w:t>
            </w:r>
            <w:r w:rsidR="00B246B0" w:rsidRPr="000E722B">
              <w:rPr>
                <w:rFonts w:cs="Arial"/>
                <w:color w:val="auto"/>
                <w:szCs w:val="24"/>
                <w:lang w:val="mn-MN"/>
              </w:rPr>
              <w:t>11.29</w:t>
            </w:r>
            <w:r w:rsidR="00B246B0" w:rsidRPr="000E722B">
              <w:rPr>
                <w:rFonts w:cs="Arial"/>
                <w:color w:val="auto"/>
                <w:szCs w:val="24"/>
                <w:lang w:val="mn-MN"/>
              </w:rPr>
              <w:sym w:font="Symbol" w:char="F0B1"/>
            </w:r>
            <w:r w:rsidR="00B246B0" w:rsidRPr="000E722B">
              <w:rPr>
                <w:rFonts w:cs="Arial"/>
                <w:color w:val="auto"/>
                <w:szCs w:val="24"/>
                <w:lang w:val="mn-MN"/>
              </w:rPr>
              <w:t xml:space="preserve">4.13 </w:t>
            </w:r>
          </w:p>
        </w:tc>
        <w:tc>
          <w:tcPr>
            <w:tcW w:w="2261" w:type="dxa"/>
            <w:tcBorders>
              <w:top w:val="nil"/>
              <w:left w:val="nil"/>
              <w:bottom w:val="single" w:sz="2" w:space="0" w:color="000000"/>
              <w:right w:val="nil"/>
            </w:tcBorders>
          </w:tcPr>
          <w:p w14:paraId="1F09D78D" w14:textId="7477F212" w:rsidR="00B246B0" w:rsidRPr="000E722B" w:rsidRDefault="002C3B35" w:rsidP="002C3B35">
            <w:pPr>
              <w:spacing w:line="240" w:lineRule="auto"/>
              <w:ind w:firstLine="0"/>
              <w:rPr>
                <w:rFonts w:cs="Arial"/>
                <w:color w:val="auto"/>
                <w:szCs w:val="24"/>
                <w:lang w:val="mn-MN"/>
              </w:rPr>
            </w:pPr>
            <w:r>
              <w:rPr>
                <w:rFonts w:cs="Arial"/>
                <w:color w:val="auto"/>
                <w:szCs w:val="24"/>
                <w:lang w:val="mn-MN"/>
              </w:rPr>
              <w:t xml:space="preserve">     </w:t>
            </w:r>
            <w:r w:rsidR="00B246B0" w:rsidRPr="000E722B">
              <w:rPr>
                <w:rFonts w:cs="Arial"/>
                <w:color w:val="auto"/>
                <w:szCs w:val="24"/>
                <w:lang w:val="mn-MN"/>
              </w:rPr>
              <w:t>маш өндөр</w:t>
            </w:r>
          </w:p>
        </w:tc>
      </w:tr>
      <w:tr w:rsidR="00B246B0" w:rsidRPr="000E722B" w14:paraId="5392E7EC" w14:textId="77777777" w:rsidTr="00D10E8D">
        <w:trPr>
          <w:trHeight w:val="296"/>
        </w:trPr>
        <w:tc>
          <w:tcPr>
            <w:tcW w:w="2530" w:type="dxa"/>
            <w:tcBorders>
              <w:top w:val="single" w:sz="2" w:space="0" w:color="000000"/>
              <w:left w:val="nil"/>
              <w:bottom w:val="single" w:sz="2" w:space="0" w:color="000000"/>
              <w:right w:val="nil"/>
            </w:tcBorders>
          </w:tcPr>
          <w:p w14:paraId="0BE7C374" w14:textId="77777777" w:rsidR="00B246B0" w:rsidRPr="000E722B" w:rsidRDefault="00B246B0" w:rsidP="00DF5D53">
            <w:pPr>
              <w:spacing w:line="240" w:lineRule="auto"/>
              <w:rPr>
                <w:rFonts w:cs="Arial"/>
                <w:b/>
                <w:bCs/>
                <w:color w:val="auto"/>
                <w:szCs w:val="24"/>
                <w:lang w:val="mn-MN"/>
              </w:rPr>
            </w:pPr>
            <w:r w:rsidRPr="000E722B">
              <w:rPr>
                <w:rFonts w:cs="Arial"/>
                <w:b/>
                <w:bCs/>
                <w:color w:val="auto"/>
                <w:szCs w:val="24"/>
                <w:lang w:val="mn-MN"/>
              </w:rPr>
              <w:t xml:space="preserve">Нийт </w:t>
            </w:r>
          </w:p>
        </w:tc>
        <w:tc>
          <w:tcPr>
            <w:tcW w:w="2064" w:type="dxa"/>
            <w:tcBorders>
              <w:top w:val="single" w:sz="2" w:space="0" w:color="000000"/>
              <w:left w:val="nil"/>
              <w:bottom w:val="single" w:sz="2" w:space="0" w:color="000000"/>
              <w:right w:val="nil"/>
            </w:tcBorders>
          </w:tcPr>
          <w:p w14:paraId="5542033E" w14:textId="631A082F" w:rsidR="00B246B0" w:rsidRPr="000E722B" w:rsidRDefault="002C3B35" w:rsidP="00DF5D53">
            <w:pPr>
              <w:spacing w:line="240" w:lineRule="auto"/>
              <w:rPr>
                <w:rFonts w:cs="Arial"/>
                <w:color w:val="auto"/>
                <w:szCs w:val="24"/>
                <w:lang w:val="mn-MN"/>
              </w:rPr>
            </w:pPr>
            <w:r>
              <w:rPr>
                <w:rFonts w:cs="Arial"/>
                <w:color w:val="auto"/>
                <w:szCs w:val="24"/>
                <w:lang w:val="mn-MN"/>
              </w:rPr>
              <w:t xml:space="preserve">        </w:t>
            </w:r>
            <w:r w:rsidR="00B246B0" w:rsidRPr="000E722B">
              <w:rPr>
                <w:rFonts w:cs="Arial"/>
                <w:color w:val="auto"/>
                <w:szCs w:val="24"/>
                <w:lang w:val="mn-MN"/>
              </w:rPr>
              <w:t>50</w:t>
            </w:r>
          </w:p>
        </w:tc>
        <w:tc>
          <w:tcPr>
            <w:tcW w:w="2489" w:type="dxa"/>
            <w:tcBorders>
              <w:top w:val="single" w:sz="2" w:space="0" w:color="000000"/>
              <w:left w:val="nil"/>
              <w:bottom w:val="single" w:sz="2" w:space="0" w:color="000000"/>
              <w:right w:val="nil"/>
            </w:tcBorders>
          </w:tcPr>
          <w:p w14:paraId="60835403" w14:textId="49AF3F3E" w:rsidR="00B246B0" w:rsidRPr="000E722B" w:rsidRDefault="002C3B35" w:rsidP="002C3B35">
            <w:pPr>
              <w:spacing w:line="240" w:lineRule="auto"/>
              <w:ind w:firstLine="0"/>
              <w:rPr>
                <w:rFonts w:cs="Arial"/>
                <w:color w:val="auto"/>
                <w:szCs w:val="24"/>
                <w:lang w:val="mn-MN"/>
              </w:rPr>
            </w:pPr>
            <w:r>
              <w:rPr>
                <w:rFonts w:cs="Arial"/>
                <w:color w:val="auto"/>
                <w:szCs w:val="24"/>
                <w:lang w:val="mn-MN"/>
              </w:rPr>
              <w:t xml:space="preserve">        </w:t>
            </w:r>
            <w:r w:rsidR="00B246B0" w:rsidRPr="000E722B">
              <w:rPr>
                <w:rFonts w:cs="Arial"/>
                <w:color w:val="auto"/>
                <w:szCs w:val="24"/>
                <w:lang w:val="mn-MN"/>
              </w:rPr>
              <w:t>8.66</w:t>
            </w:r>
            <w:r w:rsidR="00B246B0" w:rsidRPr="000E722B">
              <w:rPr>
                <w:rFonts w:cs="Arial"/>
                <w:color w:val="auto"/>
                <w:szCs w:val="24"/>
                <w:lang w:val="mn-MN"/>
              </w:rPr>
              <w:sym w:font="Symbol" w:char="F0B1"/>
            </w:r>
            <w:r w:rsidR="00B246B0" w:rsidRPr="000E722B">
              <w:rPr>
                <w:rFonts w:cs="Arial"/>
                <w:color w:val="auto"/>
                <w:szCs w:val="24"/>
                <w:lang w:val="mn-MN"/>
              </w:rPr>
              <w:t>4.31</w:t>
            </w:r>
          </w:p>
        </w:tc>
        <w:tc>
          <w:tcPr>
            <w:tcW w:w="2261" w:type="dxa"/>
            <w:tcBorders>
              <w:top w:val="single" w:sz="2" w:space="0" w:color="000000"/>
              <w:left w:val="nil"/>
              <w:bottom w:val="single" w:sz="2" w:space="0" w:color="000000"/>
              <w:right w:val="nil"/>
            </w:tcBorders>
          </w:tcPr>
          <w:p w14:paraId="293AE5E9" w14:textId="691D8AB0" w:rsidR="00B246B0" w:rsidRPr="000E722B" w:rsidRDefault="002C3B35" w:rsidP="002C3B35">
            <w:pPr>
              <w:spacing w:line="240" w:lineRule="auto"/>
              <w:ind w:firstLine="0"/>
              <w:rPr>
                <w:rFonts w:cs="Arial"/>
                <w:color w:val="auto"/>
                <w:szCs w:val="24"/>
                <w:lang w:val="mn-MN"/>
              </w:rPr>
            </w:pPr>
            <w:r>
              <w:rPr>
                <w:rFonts w:cs="Arial"/>
                <w:color w:val="auto"/>
                <w:szCs w:val="24"/>
                <w:lang w:val="mn-MN"/>
              </w:rPr>
              <w:t xml:space="preserve">     </w:t>
            </w:r>
            <w:r w:rsidR="00B246B0" w:rsidRPr="000E722B">
              <w:rPr>
                <w:rFonts w:cs="Arial"/>
                <w:color w:val="auto"/>
                <w:szCs w:val="24"/>
                <w:lang w:val="mn-MN"/>
              </w:rPr>
              <w:t>маш өндөр</w:t>
            </w:r>
          </w:p>
        </w:tc>
      </w:tr>
    </w:tbl>
    <w:p w14:paraId="45D81F20" w14:textId="77777777" w:rsidR="00B246B0" w:rsidRDefault="00B246B0" w:rsidP="00DF5D53">
      <w:pPr>
        <w:spacing w:line="240" w:lineRule="auto"/>
        <w:ind w:firstLine="0"/>
        <w:jc w:val="both"/>
        <w:rPr>
          <w:rFonts w:eastAsiaTheme="minorEastAsia" w:cs="Arial"/>
          <w:color w:val="auto"/>
          <w:szCs w:val="24"/>
        </w:rPr>
      </w:pPr>
    </w:p>
    <w:p w14:paraId="0F2EF907" w14:textId="5B9D6417" w:rsidR="00B246B0" w:rsidRDefault="00C15632" w:rsidP="001F58CA">
      <w:pPr>
        <w:spacing w:line="240" w:lineRule="auto"/>
        <w:ind w:firstLine="720"/>
        <w:jc w:val="both"/>
        <w:rPr>
          <w:rFonts w:cs="Arial"/>
          <w:color w:val="auto"/>
          <w:szCs w:val="24"/>
          <w:lang w:val="mn-MN"/>
        </w:rPr>
      </w:pPr>
      <w:r w:rsidRPr="000E722B">
        <w:rPr>
          <w:rFonts w:cs="Arial"/>
          <w:color w:val="auto"/>
          <w:szCs w:val="24"/>
          <w:lang w:val="mn-MN"/>
        </w:rPr>
        <w:t>Судалгаанд хамрагдсан ШГӨ-тэй хүүхдийн</w:t>
      </w:r>
      <w:r w:rsidR="003A53ED">
        <w:rPr>
          <w:rFonts w:cs="Arial"/>
          <w:color w:val="auto"/>
          <w:szCs w:val="24"/>
          <w:lang w:val="mn-MN"/>
        </w:rPr>
        <w:t xml:space="preserve"> буйлны үрэвслийн байдлыг судлахад</w:t>
      </w:r>
      <w:r w:rsidRPr="000E722B">
        <w:rPr>
          <w:rFonts w:cs="Arial"/>
          <w:color w:val="auto"/>
          <w:szCs w:val="24"/>
          <w:lang w:val="mn-MN"/>
        </w:rPr>
        <w:t xml:space="preserve"> сүүн шүдний зуултын үед 50%, холимог зуултын үед 60.9%, байнгын шүдний зуултын үед 58.8% </w:t>
      </w:r>
      <w:r w:rsidR="003A53ED">
        <w:rPr>
          <w:rFonts w:cs="Arial"/>
          <w:color w:val="auto"/>
          <w:szCs w:val="24"/>
          <w:lang w:val="mn-MN"/>
        </w:rPr>
        <w:t xml:space="preserve">нь </w:t>
      </w:r>
      <w:r w:rsidRPr="000E722B">
        <w:rPr>
          <w:rFonts w:cs="Arial"/>
          <w:color w:val="auto"/>
          <w:szCs w:val="24"/>
          <w:lang w:val="mn-MN"/>
        </w:rPr>
        <w:t xml:space="preserve">буйлны үрэвсэлтэй байв. </w:t>
      </w:r>
      <w:r w:rsidR="002054C7" w:rsidRPr="000E722B">
        <w:rPr>
          <w:rFonts w:cs="Arial"/>
          <w:color w:val="auto"/>
          <w:szCs w:val="24"/>
          <w:lang w:val="mn-MN"/>
        </w:rPr>
        <w:t>Харин шүдний өнгөрийн дундаж үзүүлэлт нэмэгдэх бу</w:t>
      </w:r>
      <w:r w:rsidR="003A53ED">
        <w:rPr>
          <w:rFonts w:cs="Arial"/>
          <w:color w:val="auto"/>
          <w:szCs w:val="24"/>
          <w:lang w:val="mn-MN"/>
        </w:rPr>
        <w:t>юу амны хөндийн эрүүл ахуйн төл</w:t>
      </w:r>
      <w:r w:rsidR="002111E8">
        <w:rPr>
          <w:rFonts w:cs="Arial"/>
          <w:color w:val="auto"/>
          <w:szCs w:val="24"/>
          <w:lang w:val="mn-MN"/>
        </w:rPr>
        <w:t>ө</w:t>
      </w:r>
      <w:r w:rsidR="002054C7" w:rsidRPr="000E722B">
        <w:rPr>
          <w:rFonts w:cs="Arial"/>
          <w:color w:val="auto"/>
          <w:szCs w:val="24"/>
          <w:lang w:val="mn-MN"/>
        </w:rPr>
        <w:t>вийн үзүүлэлт хангалтгүй болох тусам буйлны үрэвсэл ихсэж байгаа статистик ач холбогдол (p&lt;0.001) бүхий үр</w:t>
      </w:r>
      <w:r w:rsidR="002054C7">
        <w:rPr>
          <w:rFonts w:cs="Arial"/>
          <w:color w:val="auto"/>
          <w:szCs w:val="24"/>
          <w:lang w:val="mn-MN"/>
        </w:rPr>
        <w:t xml:space="preserve"> дүн ажиглагдаж байна (Зураг 1</w:t>
      </w:r>
      <w:r w:rsidR="002054C7" w:rsidRPr="000E722B">
        <w:rPr>
          <w:rFonts w:cs="Arial"/>
          <w:color w:val="auto"/>
          <w:szCs w:val="24"/>
          <w:lang w:val="mn-MN"/>
        </w:rPr>
        <w:t>).</w:t>
      </w:r>
    </w:p>
    <w:p w14:paraId="18143253" w14:textId="77777777" w:rsidR="00B246B0" w:rsidRPr="000E722B" w:rsidRDefault="00B246B0" w:rsidP="00D10E8D">
      <w:pPr>
        <w:spacing w:line="240" w:lineRule="auto"/>
        <w:ind w:firstLine="90"/>
        <w:jc w:val="both"/>
        <w:rPr>
          <w:rFonts w:cs="Arial"/>
          <w:color w:val="auto"/>
          <w:szCs w:val="24"/>
          <w:lang w:val="mn-MN"/>
        </w:rPr>
      </w:pPr>
      <w:r w:rsidRPr="000E722B">
        <w:rPr>
          <w:noProof/>
          <w:color w:val="auto"/>
        </w:rPr>
        <w:lastRenderedPageBreak/>
        <w:drawing>
          <wp:inline distT="0" distB="0" distL="0" distR="0" wp14:anchorId="2DC30197" wp14:editId="2597E589">
            <wp:extent cx="5781675" cy="2733675"/>
            <wp:effectExtent l="0" t="0" r="9525" b="9525"/>
            <wp:docPr id="5" name="Chart 5">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http://schemas.microsoft.com/office/drawing/2014/chartex" xmlns="" id="{A86A6F76-F997-1242-AEE6-B894104A3BB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59DB5725" w14:textId="5B1CE5CE" w:rsidR="002054C7" w:rsidRDefault="002054C7" w:rsidP="00D10E8D">
      <w:pPr>
        <w:spacing w:before="240" w:line="240" w:lineRule="auto"/>
        <w:jc w:val="center"/>
        <w:rPr>
          <w:rFonts w:cs="Arial"/>
          <w:b/>
          <w:color w:val="auto"/>
          <w:szCs w:val="24"/>
          <w:lang w:val="mn-MN"/>
        </w:rPr>
      </w:pPr>
      <w:r>
        <w:rPr>
          <w:rFonts w:cs="Arial"/>
          <w:b/>
          <w:color w:val="auto"/>
          <w:szCs w:val="24"/>
          <w:lang w:val="mn-MN"/>
        </w:rPr>
        <w:t>Зураг 1</w:t>
      </w:r>
      <w:r w:rsidR="004B10EE">
        <w:rPr>
          <w:rFonts w:cs="Arial"/>
          <w:b/>
          <w:color w:val="auto"/>
          <w:szCs w:val="24"/>
          <w:lang w:val="mn-MN"/>
        </w:rPr>
        <w:t xml:space="preserve">. </w:t>
      </w:r>
      <w:r w:rsidR="004B10EE" w:rsidRPr="00D10E8D">
        <w:rPr>
          <w:rFonts w:cs="Arial"/>
          <w:color w:val="auto"/>
          <w:szCs w:val="24"/>
          <w:lang w:val="mn-MN"/>
        </w:rPr>
        <w:t>Буйлны үрэвсэл</w:t>
      </w:r>
      <w:r w:rsidR="00B246B0" w:rsidRPr="00D10E8D">
        <w:rPr>
          <w:rFonts w:cs="Arial"/>
          <w:color w:val="auto"/>
          <w:szCs w:val="24"/>
          <w:lang w:val="mn-MN"/>
        </w:rPr>
        <w:t xml:space="preserve"> </w:t>
      </w:r>
      <w:r w:rsidR="00A52370" w:rsidRPr="00D10E8D">
        <w:rPr>
          <w:rFonts w:cs="Arial"/>
          <w:color w:val="auto"/>
          <w:szCs w:val="24"/>
          <w:lang w:val="mn-MN"/>
        </w:rPr>
        <w:t xml:space="preserve">(зуултын </w:t>
      </w:r>
      <w:r w:rsidR="004B10EE" w:rsidRPr="00D10E8D">
        <w:rPr>
          <w:rFonts w:cs="Arial"/>
          <w:color w:val="auto"/>
          <w:szCs w:val="24"/>
          <w:lang w:val="mn-MN"/>
        </w:rPr>
        <w:t>байдлаар</w:t>
      </w:r>
      <w:r w:rsidR="00B246B0" w:rsidRPr="00D10E8D">
        <w:rPr>
          <w:rFonts w:cs="Arial"/>
          <w:color w:val="auto"/>
          <w:szCs w:val="24"/>
          <w:lang w:val="mn-MN"/>
        </w:rPr>
        <w:t>)</w:t>
      </w:r>
    </w:p>
    <w:p w14:paraId="351390D4" w14:textId="77777777" w:rsidR="003A53ED" w:rsidRDefault="003A53ED" w:rsidP="00DF5D53">
      <w:pPr>
        <w:spacing w:line="240" w:lineRule="auto"/>
        <w:jc w:val="center"/>
        <w:rPr>
          <w:rFonts w:cs="Arial"/>
          <w:b/>
          <w:color w:val="auto"/>
          <w:szCs w:val="24"/>
          <w:lang w:val="mn-MN"/>
        </w:rPr>
      </w:pPr>
    </w:p>
    <w:p w14:paraId="4EAAFABC" w14:textId="4829CE1A" w:rsidR="00C15632" w:rsidRPr="002054C7" w:rsidRDefault="00C15632" w:rsidP="00D10E8D">
      <w:pPr>
        <w:spacing w:line="240" w:lineRule="auto"/>
        <w:jc w:val="both"/>
        <w:rPr>
          <w:rFonts w:cs="Arial"/>
          <w:color w:val="auto"/>
          <w:szCs w:val="24"/>
          <w:lang w:val="mn-MN"/>
        </w:rPr>
      </w:pPr>
      <w:r w:rsidRPr="000E722B">
        <w:rPr>
          <w:rFonts w:cs="Arial"/>
          <w:color w:val="auto"/>
          <w:szCs w:val="24"/>
          <w:lang w:val="mn-MN"/>
        </w:rPr>
        <w:t>Судалгаанд хамрагд</w:t>
      </w:r>
      <w:r w:rsidR="003A53ED">
        <w:rPr>
          <w:rFonts w:cs="Arial"/>
          <w:color w:val="auto"/>
          <w:szCs w:val="24"/>
          <w:lang w:val="mn-MN"/>
        </w:rPr>
        <w:t xml:space="preserve">сан ШГӨ-тэй хүүхдийн </w:t>
      </w:r>
      <w:r w:rsidR="00683F25">
        <w:rPr>
          <w:rFonts w:cs="Arial"/>
          <w:color w:val="auto"/>
          <w:szCs w:val="24"/>
          <w:lang w:val="mn-MN"/>
        </w:rPr>
        <w:t>амны хөндийн эрүүл ахуй</w:t>
      </w:r>
      <w:r w:rsidR="00683F25">
        <w:rPr>
          <w:rFonts w:cs="Arial"/>
          <w:color w:val="auto"/>
          <w:szCs w:val="24"/>
        </w:rPr>
        <w:t>y</w:t>
      </w:r>
      <w:r w:rsidR="00683F25">
        <w:rPr>
          <w:rFonts w:cs="Arial"/>
          <w:color w:val="auto"/>
          <w:szCs w:val="24"/>
          <w:lang w:val="mn-MN"/>
        </w:rPr>
        <w:t xml:space="preserve"> </w:t>
      </w:r>
      <w:r w:rsidR="00683F25">
        <w:rPr>
          <w:rFonts w:cs="Arial"/>
          <w:color w:val="auto"/>
          <w:szCs w:val="24"/>
        </w:rPr>
        <w:t>(</w:t>
      </w:r>
      <w:r w:rsidR="003A53ED">
        <w:rPr>
          <w:rFonts w:cs="Arial"/>
          <w:color w:val="auto"/>
          <w:szCs w:val="24"/>
          <w:lang w:val="mn-MN"/>
        </w:rPr>
        <w:t>АХЭА</w:t>
      </w:r>
      <w:r w:rsidR="00683F25">
        <w:rPr>
          <w:rFonts w:cs="Arial"/>
          <w:color w:val="auto"/>
          <w:szCs w:val="24"/>
        </w:rPr>
        <w:t>)</w:t>
      </w:r>
      <w:r w:rsidR="003A53ED">
        <w:rPr>
          <w:rFonts w:cs="Arial"/>
          <w:color w:val="auto"/>
          <w:szCs w:val="24"/>
          <w:lang w:val="mn-MN"/>
        </w:rPr>
        <w:t xml:space="preserve"> төл</w:t>
      </w:r>
      <w:r w:rsidR="00683F25">
        <w:rPr>
          <w:rFonts w:cs="Arial"/>
          <w:color w:val="auto"/>
          <w:szCs w:val="24"/>
          <w:lang w:val="mn-MN"/>
        </w:rPr>
        <w:t>ө</w:t>
      </w:r>
      <w:bookmarkStart w:id="0" w:name="_GoBack"/>
      <w:bookmarkEnd w:id="0"/>
      <w:r w:rsidRPr="000E722B">
        <w:rPr>
          <w:rFonts w:cs="Arial"/>
          <w:color w:val="auto"/>
          <w:szCs w:val="24"/>
          <w:lang w:val="mn-MN"/>
        </w:rPr>
        <w:t>вийн “сайн” үзүүлэлтийн эзлэх х</w:t>
      </w:r>
      <w:r w:rsidR="00822739">
        <w:rPr>
          <w:rFonts w:cs="Arial"/>
          <w:color w:val="auto"/>
          <w:szCs w:val="24"/>
          <w:lang w:val="mn-MN"/>
        </w:rPr>
        <w:t>увь сүүн шүдний зуултын үед 30%</w:t>
      </w:r>
      <w:r w:rsidRPr="000E722B">
        <w:rPr>
          <w:rFonts w:cs="Arial"/>
          <w:color w:val="auto"/>
          <w:szCs w:val="24"/>
          <w:lang w:val="mn-MN"/>
        </w:rPr>
        <w:t>, холимог зуултын үед 39.1%, байнгын шүдний зуултын үед 35.3% байхад, “дунд” үзүүлэлт нь сүүн шүдний зуултын үед 70% буюу хамгийн өндөр, холимог зуултын үед 56.5%, байнгын шүдний зуултын үед 58.8% байв. Харин “хангалтгүй” үзүүлэлт нь холимог зуултын үед 4.4% буюу хамгийн бага, байнгын</w:t>
      </w:r>
      <w:r w:rsidR="003A53ED">
        <w:rPr>
          <w:rFonts w:cs="Arial"/>
          <w:color w:val="auto"/>
          <w:szCs w:val="24"/>
          <w:lang w:val="mn-MN"/>
        </w:rPr>
        <w:t xml:space="preserve"> шүдний зуултын үед 5.9% байлаа</w:t>
      </w:r>
      <w:r w:rsidRPr="000E722B">
        <w:rPr>
          <w:rFonts w:cs="Arial"/>
          <w:color w:val="auto"/>
          <w:szCs w:val="24"/>
          <w:lang w:val="mn-MN"/>
        </w:rPr>
        <w:t xml:space="preserve"> </w:t>
      </w:r>
      <w:r w:rsidR="002054C7">
        <w:rPr>
          <w:rFonts w:cs="Arial"/>
          <w:color w:val="auto"/>
          <w:szCs w:val="24"/>
        </w:rPr>
        <w:t>(</w:t>
      </w:r>
      <w:r w:rsidR="002054C7">
        <w:rPr>
          <w:rFonts w:cs="Arial"/>
          <w:color w:val="auto"/>
          <w:szCs w:val="24"/>
          <w:lang w:val="mn-MN"/>
        </w:rPr>
        <w:t>Зураг  2</w:t>
      </w:r>
      <w:r w:rsidR="002054C7">
        <w:rPr>
          <w:rFonts w:cs="Arial"/>
          <w:color w:val="auto"/>
          <w:szCs w:val="24"/>
        </w:rPr>
        <w:t>)</w:t>
      </w:r>
      <w:r w:rsidR="002054C7">
        <w:rPr>
          <w:rFonts w:cs="Arial"/>
          <w:color w:val="auto"/>
          <w:szCs w:val="24"/>
          <w:lang w:val="mn-MN"/>
        </w:rPr>
        <w:t>.</w:t>
      </w:r>
    </w:p>
    <w:p w14:paraId="1061E567" w14:textId="77777777" w:rsidR="002054C7" w:rsidRPr="000E722B" w:rsidRDefault="002054C7" w:rsidP="00D10E8D">
      <w:pPr>
        <w:spacing w:line="240" w:lineRule="auto"/>
        <w:ind w:firstLine="0"/>
        <w:jc w:val="both"/>
        <w:rPr>
          <w:rFonts w:cs="Arial"/>
          <w:color w:val="auto"/>
          <w:szCs w:val="24"/>
          <w:lang w:val="mn-MN"/>
        </w:rPr>
      </w:pPr>
      <w:r w:rsidRPr="000E722B">
        <w:rPr>
          <w:noProof/>
          <w:color w:val="auto"/>
        </w:rPr>
        <w:drawing>
          <wp:inline distT="0" distB="0" distL="0" distR="0" wp14:anchorId="5F58E0D6" wp14:editId="0A6E5AE9">
            <wp:extent cx="5848350" cy="3086100"/>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6AA5180" w14:textId="401E9532" w:rsidR="002054C7" w:rsidRPr="00D10E8D" w:rsidRDefault="002054C7" w:rsidP="00D10E8D">
      <w:pPr>
        <w:spacing w:before="240" w:line="240" w:lineRule="auto"/>
        <w:jc w:val="center"/>
        <w:rPr>
          <w:rFonts w:cs="Arial"/>
          <w:color w:val="auto"/>
          <w:szCs w:val="24"/>
          <w:lang w:val="mn-MN"/>
        </w:rPr>
      </w:pPr>
      <w:r>
        <w:rPr>
          <w:rFonts w:cs="Arial"/>
          <w:b/>
          <w:color w:val="auto"/>
          <w:szCs w:val="24"/>
          <w:lang w:val="mn-MN"/>
        </w:rPr>
        <w:t>Зураг 2</w:t>
      </w:r>
      <w:r w:rsidRPr="000E722B">
        <w:rPr>
          <w:rFonts w:cs="Arial"/>
          <w:b/>
          <w:color w:val="auto"/>
          <w:szCs w:val="24"/>
          <w:lang w:val="mn-MN"/>
        </w:rPr>
        <w:t xml:space="preserve">. </w:t>
      </w:r>
      <w:r w:rsidRPr="00D10E8D">
        <w:rPr>
          <w:rFonts w:cs="Arial"/>
          <w:color w:val="auto"/>
          <w:szCs w:val="24"/>
          <w:lang w:val="mn-MN"/>
        </w:rPr>
        <w:t>АХЭА-</w:t>
      </w:r>
      <w:r w:rsidR="003A53ED" w:rsidRPr="00D10E8D">
        <w:rPr>
          <w:rFonts w:cs="Arial"/>
          <w:color w:val="auto"/>
          <w:szCs w:val="24"/>
          <w:lang w:val="mn-MN"/>
        </w:rPr>
        <w:t>н төл</w:t>
      </w:r>
      <w:r w:rsidR="002111E8">
        <w:rPr>
          <w:rFonts w:cs="Arial"/>
          <w:color w:val="auto"/>
          <w:szCs w:val="24"/>
          <w:lang w:val="mn-MN"/>
        </w:rPr>
        <w:t>ө</w:t>
      </w:r>
      <w:r w:rsidR="00A52370" w:rsidRPr="00D10E8D">
        <w:rPr>
          <w:rFonts w:cs="Arial"/>
          <w:color w:val="auto"/>
          <w:szCs w:val="24"/>
          <w:lang w:val="mn-MN"/>
        </w:rPr>
        <w:t xml:space="preserve">вийг шүдний зуултын </w:t>
      </w:r>
      <w:r w:rsidR="003A53ED" w:rsidRPr="00D10E8D">
        <w:rPr>
          <w:rFonts w:cs="Arial"/>
          <w:color w:val="auto"/>
          <w:szCs w:val="24"/>
          <w:lang w:val="mn-MN"/>
        </w:rPr>
        <w:t>байдлаар</w:t>
      </w:r>
      <w:r w:rsidRPr="00D10E8D">
        <w:rPr>
          <w:rFonts w:cs="Arial"/>
          <w:color w:val="auto"/>
          <w:szCs w:val="24"/>
          <w:lang w:val="mn-MN"/>
        </w:rPr>
        <w:t xml:space="preserve"> харьцуулан судалсан дүн</w:t>
      </w:r>
    </w:p>
    <w:p w14:paraId="1F054E01" w14:textId="77777777" w:rsidR="002054C7" w:rsidRPr="002054C7" w:rsidRDefault="002054C7" w:rsidP="00DF5D53">
      <w:pPr>
        <w:spacing w:line="240" w:lineRule="auto"/>
        <w:ind w:firstLine="0"/>
        <w:rPr>
          <w:rFonts w:cs="Arial"/>
          <w:b/>
          <w:color w:val="auto"/>
          <w:szCs w:val="24"/>
          <w:lang w:val="mn-MN"/>
        </w:rPr>
      </w:pPr>
    </w:p>
    <w:p w14:paraId="6C1E4695" w14:textId="77777777" w:rsidR="001112EC" w:rsidRPr="009A64A0" w:rsidRDefault="001112EC" w:rsidP="001112EC">
      <w:pPr>
        <w:pStyle w:val="ListParagraph"/>
        <w:spacing w:after="0" w:line="240" w:lineRule="auto"/>
        <w:ind w:left="0" w:firstLine="0"/>
        <w:jc w:val="both"/>
        <w:rPr>
          <w:rFonts w:cs="Arial"/>
          <w:color w:val="auto"/>
          <w:szCs w:val="24"/>
          <w:lang w:val="mn-MN"/>
        </w:rPr>
      </w:pPr>
    </w:p>
    <w:p w14:paraId="1F295BA5" w14:textId="77777777" w:rsidR="004C6867" w:rsidRDefault="00276CDB" w:rsidP="00DD772F">
      <w:pPr>
        <w:spacing w:line="276" w:lineRule="auto"/>
        <w:ind w:firstLine="720"/>
        <w:jc w:val="both"/>
        <w:rPr>
          <w:rFonts w:cs="Arial"/>
          <w:b/>
          <w:bCs/>
          <w:i/>
          <w:iCs/>
          <w:color w:val="auto"/>
        </w:rPr>
      </w:pPr>
      <w:r w:rsidRPr="00FD767F">
        <w:rPr>
          <w:rFonts w:cs="Arial"/>
          <w:b/>
          <w:bCs/>
          <w:iCs/>
          <w:color w:val="auto"/>
          <w:lang w:val="mn-MN"/>
        </w:rPr>
        <w:t>Хэлцэмж</w:t>
      </w:r>
    </w:p>
    <w:p w14:paraId="61E79F46" w14:textId="6E287CE6" w:rsidR="00F314E4" w:rsidRPr="00F022B4" w:rsidRDefault="00F314E4" w:rsidP="00DD772F">
      <w:pPr>
        <w:spacing w:line="276" w:lineRule="auto"/>
        <w:ind w:firstLine="720"/>
        <w:jc w:val="both"/>
        <w:rPr>
          <w:rFonts w:cs="Arial"/>
          <w:color w:val="auto"/>
          <w:szCs w:val="24"/>
          <w:lang w:val="mn-MN"/>
        </w:rPr>
      </w:pPr>
      <w:r w:rsidRPr="00F022B4">
        <w:rPr>
          <w:rFonts w:cs="Arial"/>
          <w:color w:val="auto"/>
          <w:szCs w:val="24"/>
          <w:lang w:val="mn-MN"/>
        </w:rPr>
        <w:t>Энэхүү судалгаа нь ШГӨ-тэй хүүхдийн амны хөндийн байдлыг үнэлсэн суурь судалгаа болох бөгөөд цаашид шүд цоорох өвчин, буйлны үрэвсэл, сурвалжийн оройн холбоосын үрэвсэл, хамар дайвар хөндийн үрэвсэл, гүйлсэн булчирхайн үрэвсэл, дунд чихний үрэвсэл гэх мэт голомтот халдварыг бүрэн эмчлэн, улмаар ШГӨ-ний эдгэрэлтийн явц, уг өвчин дахих эсэх, бусад хэлбэрээр хүндрэх зэргийг хянаж, нарийвчлан судлах нь зайлшгүй чухал байна.</w:t>
      </w:r>
    </w:p>
    <w:p w14:paraId="0DD6341F" w14:textId="4B0EE91D" w:rsidR="00F314E4" w:rsidRPr="00575745" w:rsidRDefault="00F314E4" w:rsidP="00DD772F">
      <w:pPr>
        <w:spacing w:line="276" w:lineRule="auto"/>
        <w:ind w:firstLine="720"/>
        <w:jc w:val="both"/>
        <w:rPr>
          <w:rFonts w:cs="Arial"/>
          <w:color w:val="auto"/>
          <w:szCs w:val="24"/>
          <w:vertAlign w:val="superscript"/>
        </w:rPr>
      </w:pPr>
      <w:r w:rsidRPr="00F022B4">
        <w:rPr>
          <w:rFonts w:cs="Arial"/>
          <w:color w:val="auto"/>
          <w:szCs w:val="24"/>
          <w:lang w:val="mn-MN" w:eastAsia="zh-CN"/>
        </w:rPr>
        <w:t>Бидний судалгааны үр дүнгээс харахад ШГӨ-тэй хүүхдийн дунд шүд цоорох өвчин ба буйлны үрэвслийн тархалт өндөр, АХЭА-н төлөвийн хувьд “дунд” үзүүлэлт дийлэнх хувийг эзэлж байгаа үр дүн ажиглагдлаа. Энэ удаагийн судалгаагаар ШГӨ-тэй хүүхдийн хувьд зөвхөн ШЦӨ ба буйлны үрэвсэл, АХЭА-н төлөв, мэдлэг дадлыг судалсан. Эндээс харахад эцэг эх болон тэднээр дамжуулан хүүхдэд ШЦӨ-ний талаарх мэдлэг, зөв дадлыг олгох зайлшгүй шаардлагатай байна. Иймд хүүхэдтэй ихэнх цагийг хамт өнгөрөөдөг эцэг эх, асран хамгаалагч нар амны хөндийн эрүүл мэндийн талаар мэдлэг, мэдээлэлтэй байснаар хүүхдэд шүд амаа арчлах зөв дадал хэвшил эзэмшүүлэх болно. Б</w:t>
      </w:r>
      <w:r w:rsidRPr="00F022B4">
        <w:rPr>
          <w:rFonts w:cs="Arial"/>
          <w:color w:val="auto"/>
          <w:szCs w:val="24"/>
          <w:lang w:val="mn-MN"/>
        </w:rPr>
        <w:t>ага балчир үеэс буюу сургуулийн өмнөх насанд эзэмшүүлсэн амьдралын зөв дадал хэвшил нь хүүхдэд насан туршид хадгалагдан үлддэ</w:t>
      </w:r>
      <w:r w:rsidR="00F72FF6">
        <w:rPr>
          <w:rFonts w:cs="Arial"/>
          <w:color w:val="auto"/>
          <w:szCs w:val="24"/>
          <w:lang w:val="mn-MN"/>
        </w:rPr>
        <w:t>г гэж үздэг</w:t>
      </w:r>
      <w:r w:rsidR="00575745">
        <w:rPr>
          <w:rFonts w:cs="Arial"/>
          <w:color w:val="auto"/>
          <w:szCs w:val="24"/>
          <w:vertAlign w:val="superscript"/>
        </w:rPr>
        <w:t>9,10</w:t>
      </w:r>
      <w:r w:rsidR="00F72FF6">
        <w:rPr>
          <w:rFonts w:cs="Arial"/>
          <w:color w:val="auto"/>
          <w:szCs w:val="24"/>
          <w:lang w:val="mn-MN"/>
        </w:rPr>
        <w:t>.</w:t>
      </w:r>
    </w:p>
    <w:p w14:paraId="6D9A4E1E" w14:textId="2201B784" w:rsidR="00F314E4" w:rsidRPr="00F72FF6" w:rsidRDefault="00F314E4" w:rsidP="00DD772F">
      <w:pPr>
        <w:spacing w:line="276" w:lineRule="auto"/>
        <w:ind w:firstLine="720"/>
        <w:jc w:val="both"/>
        <w:rPr>
          <w:rFonts w:cs="Arial"/>
          <w:color w:val="auto"/>
          <w:szCs w:val="24"/>
          <w:lang w:val="mn-MN"/>
        </w:rPr>
      </w:pPr>
      <w:r w:rsidRPr="00F022B4">
        <w:rPr>
          <w:rFonts w:cs="Arial"/>
          <w:color w:val="auto"/>
          <w:szCs w:val="24"/>
          <w:lang w:val="mn-MN" w:eastAsia="zh-CN"/>
        </w:rPr>
        <w:t xml:space="preserve">ШЦӨ-ний эмчилгээг цаг алдалгүй хийлгэх нь </w:t>
      </w:r>
      <w:r w:rsidRPr="00F022B4">
        <w:rPr>
          <w:rFonts w:cs="Arial"/>
          <w:color w:val="auto"/>
          <w:szCs w:val="24"/>
          <w:lang w:val="mn-MN"/>
        </w:rPr>
        <w:t>хүүхдийн бие махбодын өсөлт хөгжилтөд нөлөөлдөг төдийгүй, ШГӨ-өөр өвчлөхөөс болон бусад хэлбэрээр хүндрэхээс, гүйлсэн булчирхайн үрэвсэл, зүрх судас, үе мөч, бөөрний өвчин зэрэг бие махбодын бусад эрхтний халдвар, харшлын өвчин үүсгэж даамжрах олон асуудлаас у</w:t>
      </w:r>
      <w:r w:rsidR="00F72FF6">
        <w:rPr>
          <w:rFonts w:cs="Arial"/>
          <w:color w:val="auto"/>
          <w:szCs w:val="24"/>
          <w:lang w:val="mn-MN"/>
        </w:rPr>
        <w:t>рьдчилан сэргийлэх боломжтой юм</w:t>
      </w:r>
      <w:r w:rsidR="00575745">
        <w:rPr>
          <w:rFonts w:cs="Arial"/>
          <w:color w:val="auto"/>
          <w:szCs w:val="24"/>
          <w:vertAlign w:val="superscript"/>
        </w:rPr>
        <w:t>9,10</w:t>
      </w:r>
      <w:r w:rsidR="00F72FF6">
        <w:rPr>
          <w:rFonts w:cs="Arial"/>
          <w:color w:val="auto"/>
          <w:szCs w:val="24"/>
          <w:lang w:val="mn-MN"/>
        </w:rPr>
        <w:t>.</w:t>
      </w:r>
    </w:p>
    <w:p w14:paraId="53B3D254" w14:textId="77777777" w:rsidR="00F314E4" w:rsidRPr="00F022B4" w:rsidRDefault="00F314E4" w:rsidP="00DD772F">
      <w:pPr>
        <w:spacing w:line="276" w:lineRule="auto"/>
        <w:jc w:val="both"/>
        <w:rPr>
          <w:rFonts w:cs="Arial"/>
          <w:color w:val="auto"/>
          <w:lang w:val="mn-MN"/>
        </w:rPr>
      </w:pPr>
    </w:p>
    <w:p w14:paraId="1F1A683E" w14:textId="4EDFF753" w:rsidR="004C6867" w:rsidRPr="00C15632" w:rsidRDefault="004C6867" w:rsidP="004C6867">
      <w:pPr>
        <w:spacing w:line="240" w:lineRule="auto"/>
        <w:ind w:firstLine="720"/>
        <w:jc w:val="both"/>
        <w:rPr>
          <w:rFonts w:cs="Arial"/>
          <w:b/>
          <w:bCs/>
          <w:i/>
          <w:iCs/>
          <w:color w:val="auto"/>
          <w:lang w:val="mn-MN"/>
        </w:rPr>
      </w:pPr>
      <w:r w:rsidRPr="00FD767F">
        <w:rPr>
          <w:rFonts w:cs="Arial"/>
          <w:b/>
          <w:bCs/>
          <w:iCs/>
          <w:color w:val="auto"/>
          <w:lang w:val="mn-MN"/>
        </w:rPr>
        <w:t>Дүгнэлт</w:t>
      </w:r>
    </w:p>
    <w:p w14:paraId="531DDE21" w14:textId="77777777" w:rsidR="004C6867" w:rsidRPr="001F58CA" w:rsidRDefault="004C6867" w:rsidP="001F58CA">
      <w:pPr>
        <w:pStyle w:val="ListParagraph"/>
        <w:numPr>
          <w:ilvl w:val="0"/>
          <w:numId w:val="12"/>
        </w:numPr>
        <w:spacing w:line="240" w:lineRule="auto"/>
        <w:jc w:val="both"/>
        <w:rPr>
          <w:rFonts w:cs="Arial"/>
          <w:color w:val="auto"/>
          <w:szCs w:val="24"/>
          <w:lang w:val="mn-MN"/>
        </w:rPr>
      </w:pPr>
      <w:r w:rsidRPr="001F58CA">
        <w:rPr>
          <w:rFonts w:cs="Arial"/>
          <w:color w:val="auto"/>
          <w:szCs w:val="24"/>
          <w:lang w:val="mn-MN"/>
        </w:rPr>
        <w:t>ШГӨ-тэй хүүхдийн дунд ШЦӨ-ний тархалт их, эрчим маш өндөр буюу холимог зуултын үед 95%, сүүн болон байнгын шүдний зуултын үе тус бүрд 100% байхад ШЦӨ-ний эрчим сүүн шүдний зуултын үед 7.30</w:t>
      </w:r>
      <m:oMath>
        <m:r>
          <w:rPr>
            <w:rFonts w:ascii="Cambria Math" w:hAnsi="Cambria Math" w:cs="Arial"/>
            <w:color w:val="auto"/>
            <w:szCs w:val="24"/>
            <w:lang w:val="mn-MN"/>
          </w:rPr>
          <m:t>±</m:t>
        </m:r>
      </m:oMath>
      <w:r w:rsidRPr="001F58CA">
        <w:rPr>
          <w:rFonts w:eastAsiaTheme="minorEastAsia" w:cs="Arial"/>
          <w:color w:val="auto"/>
          <w:szCs w:val="24"/>
          <w:lang w:val="mn-MN"/>
        </w:rPr>
        <w:t>4.64 цла/ш, холимог зуултын үед 7.30</w:t>
      </w:r>
      <m:oMath>
        <m:r>
          <w:rPr>
            <w:rFonts w:ascii="Cambria Math" w:hAnsi="Cambria Math" w:cs="Arial"/>
            <w:color w:val="auto"/>
            <w:szCs w:val="24"/>
            <w:lang w:val="mn-MN"/>
          </w:rPr>
          <m:t>±</m:t>
        </m:r>
      </m:oMath>
      <w:r w:rsidRPr="001F58CA">
        <w:rPr>
          <w:rFonts w:eastAsiaTheme="minorEastAsia" w:cs="Arial"/>
          <w:color w:val="auto"/>
          <w:szCs w:val="24"/>
          <w:lang w:val="mn-MN"/>
        </w:rPr>
        <w:t>3.46 цл/ш+цла/ш, байнгын шүдний зуултын үед 11.29</w:t>
      </w:r>
      <m:oMath>
        <m:r>
          <w:rPr>
            <w:rFonts w:ascii="Cambria Math" w:hAnsi="Cambria Math" w:cs="Arial"/>
            <w:color w:val="auto"/>
            <w:szCs w:val="24"/>
            <w:lang w:val="mn-MN"/>
          </w:rPr>
          <m:t>±</m:t>
        </m:r>
      </m:oMath>
      <w:r w:rsidRPr="001F58CA">
        <w:rPr>
          <w:rFonts w:eastAsiaTheme="minorEastAsia" w:cs="Arial"/>
          <w:color w:val="auto"/>
          <w:szCs w:val="24"/>
          <w:lang w:val="mn-MN"/>
        </w:rPr>
        <w:t>4.13 цла/ш байна.</w:t>
      </w:r>
    </w:p>
    <w:p w14:paraId="3BDF6D08" w14:textId="77777777" w:rsidR="004C6867" w:rsidRPr="001F58CA" w:rsidRDefault="004C6867" w:rsidP="001F58CA">
      <w:pPr>
        <w:pStyle w:val="ListParagraph"/>
        <w:numPr>
          <w:ilvl w:val="0"/>
          <w:numId w:val="12"/>
        </w:numPr>
        <w:spacing w:line="240" w:lineRule="auto"/>
        <w:jc w:val="both"/>
        <w:rPr>
          <w:rFonts w:cs="Arial"/>
          <w:color w:val="auto"/>
          <w:szCs w:val="24"/>
          <w:lang w:val="mn-MN"/>
        </w:rPr>
      </w:pPr>
      <w:r w:rsidRPr="001F58CA">
        <w:rPr>
          <w:rFonts w:cs="Arial"/>
          <w:color w:val="auto"/>
          <w:szCs w:val="24"/>
          <w:lang w:val="mn-MN"/>
        </w:rPr>
        <w:t>ШГӨ-тэй хүүхдийн буйлны үрэвсэл сүүн шүдний зуултын үед 50%, холимог зуултын үед 60.9%, байнгын шүдний зуултын үед 58.8%  байв. Мөн судалгаанд хамрагдагсдын дунд холимог зуултын үеэс эхлэн шүдний чулуутай хүүхдийн эзлэх хувь нэмэгдэж байгаа хэдий ч буйл шүдний эмгэг хөндий үүсээгүй байгаа эерэг үр дүн ажиглагдлаа.</w:t>
      </w:r>
    </w:p>
    <w:p w14:paraId="0566ABF8" w14:textId="77777777" w:rsidR="004C6867" w:rsidRPr="001F58CA" w:rsidRDefault="004C6867" w:rsidP="001F58CA">
      <w:pPr>
        <w:pStyle w:val="ListParagraph"/>
        <w:numPr>
          <w:ilvl w:val="0"/>
          <w:numId w:val="12"/>
        </w:numPr>
        <w:spacing w:line="240" w:lineRule="auto"/>
        <w:jc w:val="both"/>
        <w:rPr>
          <w:rFonts w:cs="Arial"/>
          <w:color w:val="auto"/>
          <w:szCs w:val="24"/>
          <w:lang w:val="mn-MN"/>
        </w:rPr>
      </w:pPr>
      <w:r w:rsidRPr="001F58CA">
        <w:rPr>
          <w:rFonts w:cs="Arial"/>
          <w:color w:val="auto"/>
          <w:szCs w:val="24"/>
          <w:lang w:val="mn-MN"/>
        </w:rPr>
        <w:t xml:space="preserve">ШГӨ-тэй хүүхдийн дунд АХЭА-н төлөвийн “сайн” үзүүлэлтийн эзлэх хувь сүүн шүдний зуултын үед 30% , холимог зуултын үед 39.1%, байнгын шүдний зуултын үед 35.3% байхад, “дунд” үзүүлэлт сүүн шүдний зуултын үед 70% буюу хамгийн өндөр, холимог зуултын үед 56.5%, байнгын шүдний зуултын үед 58.8% байв. Харин “хангалтгүй” үзүүлэлт нь холимог зуултын үед 4.4% буюу хамгийн бага, байнгын шүдний зуултын үед 5.9% байв. </w:t>
      </w:r>
      <w:r w:rsidRPr="001F58CA">
        <w:rPr>
          <w:rFonts w:cs="Arial"/>
          <w:color w:val="auto"/>
          <w:szCs w:val="24"/>
          <w:lang w:val="mn-MN"/>
        </w:rPr>
        <w:lastRenderedPageBreak/>
        <w:t xml:space="preserve">Судалгаанд хамрагдсан ШГӨ-тэй хүүхдийн шүдний зуултын үеүд болон АХЭА-н төлөвийн хооронд статистик ач холбогдол бүхий (p&gt;0.05) ялгаа илэрсэнгүй. </w:t>
      </w:r>
    </w:p>
    <w:p w14:paraId="6936B447" w14:textId="3C88D756" w:rsidR="00276CDB" w:rsidRPr="004C6867" w:rsidRDefault="004C6867" w:rsidP="004C6867">
      <w:pPr>
        <w:spacing w:line="276" w:lineRule="auto"/>
        <w:ind w:firstLine="720"/>
        <w:jc w:val="both"/>
        <w:rPr>
          <w:rFonts w:cs="Arial"/>
          <w:b/>
          <w:bCs/>
          <w:color w:val="auto"/>
          <w:lang w:val="mn-MN"/>
        </w:rPr>
      </w:pPr>
      <w:r w:rsidRPr="004C6867">
        <w:rPr>
          <w:rFonts w:cs="Arial"/>
          <w:b/>
          <w:bCs/>
          <w:color w:val="auto"/>
          <w:lang w:val="mn-MN"/>
        </w:rPr>
        <w:t>Ном зүй</w:t>
      </w:r>
    </w:p>
    <w:p w14:paraId="2117EB40" w14:textId="3B82946C" w:rsidR="00575745" w:rsidRPr="004C6867" w:rsidRDefault="00575745" w:rsidP="001F58CA">
      <w:pPr>
        <w:pStyle w:val="EndNoteBibliography"/>
        <w:numPr>
          <w:ilvl w:val="0"/>
          <w:numId w:val="11"/>
        </w:numPr>
        <w:jc w:val="both"/>
        <w:rPr>
          <w:rFonts w:ascii="Arial" w:hAnsi="Arial" w:cs="Arial"/>
          <w:sz w:val="24"/>
          <w:lang w:val="mn-MN"/>
        </w:rPr>
      </w:pPr>
      <w:r w:rsidRPr="004C6867">
        <w:rPr>
          <w:rFonts w:ascii="Arial" w:hAnsi="Arial" w:cs="Arial"/>
          <w:sz w:val="24"/>
          <w:lang w:val="mn-MN"/>
        </w:rPr>
        <w:t xml:space="preserve">Dolezalová P, Telekesová P, Nemcová D, Hoza J. Incidence of vasculitis in children in the Czech Republic: 2-year prospective epidemiology survey. </w:t>
      </w:r>
      <w:r w:rsidRPr="004C6867">
        <w:rPr>
          <w:rFonts w:ascii="Arial" w:hAnsi="Arial" w:cs="Arial"/>
          <w:i/>
          <w:sz w:val="24"/>
          <w:lang w:val="mn-MN"/>
        </w:rPr>
        <w:t>The Journal of rheumatology</w:t>
      </w:r>
      <w:r w:rsidRPr="004C6867">
        <w:rPr>
          <w:rFonts w:ascii="Arial" w:hAnsi="Arial" w:cs="Arial"/>
          <w:sz w:val="24"/>
          <w:lang w:val="mn-MN"/>
        </w:rPr>
        <w:t xml:space="preserve">. 2004;31(11):2295-2299. </w:t>
      </w:r>
    </w:p>
    <w:p w14:paraId="2DA8AEBF" w14:textId="2279FD8F" w:rsidR="00575745" w:rsidRPr="004C6867" w:rsidRDefault="00575745" w:rsidP="001F58CA">
      <w:pPr>
        <w:pStyle w:val="EndNoteBibliography"/>
        <w:numPr>
          <w:ilvl w:val="0"/>
          <w:numId w:val="11"/>
        </w:numPr>
        <w:jc w:val="both"/>
        <w:rPr>
          <w:rFonts w:ascii="Arial" w:hAnsi="Arial" w:cs="Arial"/>
          <w:sz w:val="24"/>
          <w:lang w:val="mn-MN"/>
        </w:rPr>
      </w:pPr>
      <w:r w:rsidRPr="004C6867">
        <w:rPr>
          <w:rFonts w:ascii="Arial" w:hAnsi="Arial" w:cs="Arial"/>
          <w:sz w:val="24"/>
          <w:lang w:val="mn-MN"/>
        </w:rPr>
        <w:t xml:space="preserve">Yang Y-H, Hung C-F, Hsu C-R, et al. A nationwide survey on epidemiological characteristics of childhood Henoch–Schonlein purpura in Taiwan. </w:t>
      </w:r>
      <w:r w:rsidRPr="004C6867">
        <w:rPr>
          <w:rFonts w:ascii="Arial" w:hAnsi="Arial" w:cs="Arial"/>
          <w:i/>
          <w:sz w:val="24"/>
          <w:lang w:val="mn-MN"/>
        </w:rPr>
        <w:t>Rheumatology</w:t>
      </w:r>
      <w:r w:rsidRPr="004C6867">
        <w:rPr>
          <w:rFonts w:ascii="Arial" w:hAnsi="Arial" w:cs="Arial"/>
          <w:sz w:val="24"/>
          <w:lang w:val="mn-MN"/>
        </w:rPr>
        <w:t xml:space="preserve">. 2005;44(5):618-622. </w:t>
      </w:r>
    </w:p>
    <w:p w14:paraId="0EBDE439" w14:textId="3D011BBC" w:rsidR="00575745" w:rsidRPr="004C6867" w:rsidRDefault="00575745" w:rsidP="001F58CA">
      <w:pPr>
        <w:pStyle w:val="EndNoteBibliography"/>
        <w:numPr>
          <w:ilvl w:val="0"/>
          <w:numId w:val="11"/>
        </w:numPr>
        <w:jc w:val="both"/>
        <w:rPr>
          <w:rFonts w:ascii="Arial" w:hAnsi="Arial" w:cs="Arial"/>
          <w:sz w:val="24"/>
          <w:lang w:val="mn-MN"/>
        </w:rPr>
      </w:pPr>
      <w:r w:rsidRPr="004C6867">
        <w:rPr>
          <w:rFonts w:ascii="Arial" w:hAnsi="Arial" w:cs="Arial"/>
          <w:sz w:val="24"/>
          <w:lang w:val="mn-MN"/>
        </w:rPr>
        <w:t xml:space="preserve">Tahmassebi JF, Paterson SA. Development of acute Henoch–Schönlein purpura subsequent to endodontic treatment. </w:t>
      </w:r>
      <w:r w:rsidRPr="004C6867">
        <w:rPr>
          <w:rFonts w:ascii="Arial" w:hAnsi="Arial" w:cs="Arial"/>
          <w:i/>
          <w:sz w:val="24"/>
          <w:lang w:val="mn-MN"/>
        </w:rPr>
        <w:t>International Journal of Paediatric Dentistry</w:t>
      </w:r>
      <w:r w:rsidRPr="004C6867">
        <w:rPr>
          <w:rFonts w:ascii="Arial" w:hAnsi="Arial" w:cs="Arial"/>
          <w:sz w:val="24"/>
          <w:lang w:val="mn-MN"/>
        </w:rPr>
        <w:t xml:space="preserve">. 2007;17(3):217-222. </w:t>
      </w:r>
    </w:p>
    <w:p w14:paraId="25E90E5D" w14:textId="6E91CB65" w:rsidR="00575745" w:rsidRPr="004C6867" w:rsidRDefault="00575745" w:rsidP="001F58CA">
      <w:pPr>
        <w:pStyle w:val="EndNoteBibliography"/>
        <w:numPr>
          <w:ilvl w:val="0"/>
          <w:numId w:val="11"/>
        </w:numPr>
        <w:jc w:val="both"/>
        <w:rPr>
          <w:rFonts w:ascii="Arial" w:hAnsi="Arial" w:cs="Arial"/>
          <w:sz w:val="24"/>
          <w:lang w:val="mn-MN"/>
        </w:rPr>
      </w:pPr>
      <w:r w:rsidRPr="004C6867">
        <w:rPr>
          <w:rFonts w:ascii="Arial" w:hAnsi="Arial" w:cs="Arial"/>
          <w:sz w:val="24"/>
          <w:lang w:val="mn-MN"/>
        </w:rPr>
        <w:t xml:space="preserve">Igawa K, Satoh T, Yokozeki H. Possible association of Henoch–Schönlein purpura in adults with odontogenic focal infection. </w:t>
      </w:r>
      <w:r w:rsidRPr="004C6867">
        <w:rPr>
          <w:rFonts w:ascii="Arial" w:hAnsi="Arial" w:cs="Arial"/>
          <w:i/>
          <w:sz w:val="24"/>
          <w:lang w:val="mn-MN"/>
        </w:rPr>
        <w:t>International journal of dermatology</w:t>
      </w:r>
      <w:r w:rsidRPr="004C6867">
        <w:rPr>
          <w:rFonts w:ascii="Arial" w:hAnsi="Arial" w:cs="Arial"/>
          <w:sz w:val="24"/>
          <w:lang w:val="mn-MN"/>
        </w:rPr>
        <w:t xml:space="preserve">. 2011;50(3):277-279. </w:t>
      </w:r>
    </w:p>
    <w:p w14:paraId="1D247075" w14:textId="6A34C232" w:rsidR="00575745" w:rsidRPr="004C6867" w:rsidRDefault="00575745" w:rsidP="001F58CA">
      <w:pPr>
        <w:pStyle w:val="EndNoteBibliography"/>
        <w:numPr>
          <w:ilvl w:val="0"/>
          <w:numId w:val="11"/>
        </w:numPr>
        <w:jc w:val="both"/>
        <w:rPr>
          <w:rFonts w:ascii="Arial" w:hAnsi="Arial" w:cs="Arial"/>
          <w:sz w:val="24"/>
          <w:lang w:val="mn-MN"/>
        </w:rPr>
      </w:pPr>
      <w:r w:rsidRPr="004C6867">
        <w:rPr>
          <w:rFonts w:ascii="Arial" w:hAnsi="Arial" w:cs="Arial"/>
          <w:sz w:val="24"/>
          <w:lang w:val="mn-MN"/>
        </w:rPr>
        <w:t xml:space="preserve">Gupta M, Gupta M. Oral conditions in renal disorders and treatment considerations–A review for pediatric dentist. </w:t>
      </w:r>
      <w:r w:rsidRPr="004C6867">
        <w:rPr>
          <w:rFonts w:ascii="Arial" w:hAnsi="Arial" w:cs="Arial"/>
          <w:i/>
          <w:sz w:val="24"/>
          <w:lang w:val="mn-MN"/>
        </w:rPr>
        <w:t>The Saudi dental journal</w:t>
      </w:r>
      <w:r w:rsidRPr="004C6867">
        <w:rPr>
          <w:rFonts w:ascii="Arial" w:hAnsi="Arial" w:cs="Arial"/>
          <w:sz w:val="24"/>
          <w:lang w:val="mn-MN"/>
        </w:rPr>
        <w:t xml:space="preserve">. 2015;27(3):113-119. </w:t>
      </w:r>
    </w:p>
    <w:p w14:paraId="19FAF7F9" w14:textId="050AF692" w:rsidR="00575745" w:rsidRPr="004C6867" w:rsidRDefault="00575745" w:rsidP="001F58CA">
      <w:pPr>
        <w:pStyle w:val="EndNoteBibliography"/>
        <w:numPr>
          <w:ilvl w:val="0"/>
          <w:numId w:val="11"/>
        </w:numPr>
        <w:jc w:val="both"/>
        <w:rPr>
          <w:rFonts w:ascii="Arial" w:hAnsi="Arial" w:cs="Arial"/>
          <w:sz w:val="24"/>
          <w:lang w:val="mn-MN"/>
        </w:rPr>
      </w:pPr>
      <w:r w:rsidRPr="004C6867">
        <w:rPr>
          <w:rFonts w:ascii="Arial" w:hAnsi="Arial" w:cs="Arial"/>
          <w:sz w:val="24"/>
          <w:lang w:val="mn-MN"/>
        </w:rPr>
        <w:t xml:space="preserve">Inoue CN, Matsutani S, Ishidoya M, Homma R, Chiba Y, Nagasaka T. Periodontal and ENT therapy in the treatment of pediatric henoch-schönlein purpura and IgA nephropathy. </w:t>
      </w:r>
      <w:r w:rsidRPr="004C6867">
        <w:rPr>
          <w:rFonts w:ascii="Arial" w:hAnsi="Arial" w:cs="Arial"/>
          <w:i/>
          <w:sz w:val="24"/>
          <w:lang w:val="mn-MN"/>
        </w:rPr>
        <w:t>Recent Advances in Tonsils and Mucosal Barriers of the Upper Airways</w:t>
      </w:r>
      <w:r w:rsidRPr="004C6867">
        <w:rPr>
          <w:rFonts w:ascii="Arial" w:hAnsi="Arial" w:cs="Arial"/>
          <w:sz w:val="24"/>
          <w:lang w:val="mn-MN"/>
        </w:rPr>
        <w:t>. Karger Publishers; 2011:53-56.</w:t>
      </w:r>
    </w:p>
    <w:p w14:paraId="4C07B92A" w14:textId="10A202ED" w:rsidR="00575745" w:rsidRPr="004C6867" w:rsidRDefault="00575745" w:rsidP="001F58CA">
      <w:pPr>
        <w:pStyle w:val="EndNoteBibliography"/>
        <w:numPr>
          <w:ilvl w:val="0"/>
          <w:numId w:val="11"/>
        </w:numPr>
        <w:jc w:val="both"/>
        <w:rPr>
          <w:rFonts w:ascii="Arial" w:hAnsi="Arial" w:cs="Arial"/>
          <w:sz w:val="24"/>
          <w:lang w:val="mn-MN"/>
        </w:rPr>
      </w:pPr>
      <w:r w:rsidRPr="004C6867">
        <w:rPr>
          <w:rFonts w:ascii="Arial" w:hAnsi="Arial" w:cs="Arial"/>
          <w:sz w:val="24"/>
          <w:lang w:val="mn-MN"/>
        </w:rPr>
        <w:t xml:space="preserve">Echavarria-Garcia A, Pozos-Guillen A, Tejeda-Nava F, Arriaga JF, Garrocho-Rangel A. Oral management of children with Henoch-Schönlein Purpura and associated. </w:t>
      </w:r>
      <w:r w:rsidRPr="004C6867">
        <w:rPr>
          <w:rFonts w:ascii="Arial" w:hAnsi="Arial" w:cs="Arial"/>
          <w:i/>
          <w:sz w:val="24"/>
          <w:lang w:val="mn-MN"/>
        </w:rPr>
        <w:t>European journal of paediatric dentistry</w:t>
      </w:r>
      <w:r w:rsidRPr="004C6867">
        <w:rPr>
          <w:rFonts w:ascii="Arial" w:hAnsi="Arial" w:cs="Arial"/>
          <w:sz w:val="24"/>
          <w:lang w:val="mn-MN"/>
        </w:rPr>
        <w:t xml:space="preserve">. 2018;19:134. </w:t>
      </w:r>
    </w:p>
    <w:p w14:paraId="1655200E" w14:textId="3257074E" w:rsidR="00575745" w:rsidRPr="004C6867" w:rsidRDefault="00575745" w:rsidP="001F58CA">
      <w:pPr>
        <w:pStyle w:val="EndNoteBibliography"/>
        <w:numPr>
          <w:ilvl w:val="0"/>
          <w:numId w:val="11"/>
        </w:numPr>
        <w:jc w:val="both"/>
        <w:rPr>
          <w:rFonts w:ascii="Arial" w:hAnsi="Arial" w:cs="Arial"/>
          <w:sz w:val="24"/>
          <w:lang w:val="mn-MN"/>
        </w:rPr>
      </w:pPr>
      <w:r w:rsidRPr="004C6867">
        <w:rPr>
          <w:rFonts w:ascii="Arial" w:hAnsi="Arial" w:cs="Arial"/>
          <w:sz w:val="24"/>
          <w:lang w:val="mn-MN"/>
        </w:rPr>
        <w:t xml:space="preserve">Inoue CN, Nagasaka T, Matsutani S, Ishidoya M, Homma R, Chiba Y. Efficacy of early dental and ENT therapy in preventing nephropathy in pediatric Henoch-Schönlein purpura. </w:t>
      </w:r>
      <w:r w:rsidRPr="004C6867">
        <w:rPr>
          <w:rFonts w:ascii="Arial" w:hAnsi="Arial" w:cs="Arial"/>
          <w:i/>
          <w:sz w:val="24"/>
          <w:lang w:val="mn-MN"/>
        </w:rPr>
        <w:t>Clinical rheumatology</w:t>
      </w:r>
      <w:r w:rsidRPr="004C6867">
        <w:rPr>
          <w:rFonts w:ascii="Arial" w:hAnsi="Arial" w:cs="Arial"/>
          <w:sz w:val="24"/>
          <w:lang w:val="mn-MN"/>
        </w:rPr>
        <w:t xml:space="preserve">. 2008;27(12):1489-1496. </w:t>
      </w:r>
    </w:p>
    <w:p w14:paraId="3A11DE59" w14:textId="4FC00092" w:rsidR="00575745" w:rsidRPr="004C6867" w:rsidRDefault="00575745" w:rsidP="001F58CA">
      <w:pPr>
        <w:pStyle w:val="EndNoteBibliography"/>
        <w:numPr>
          <w:ilvl w:val="0"/>
          <w:numId w:val="11"/>
        </w:numPr>
        <w:jc w:val="both"/>
        <w:rPr>
          <w:rFonts w:ascii="Arial" w:hAnsi="Arial" w:cs="Arial"/>
          <w:sz w:val="24"/>
          <w:lang w:val="mn-MN"/>
        </w:rPr>
      </w:pPr>
      <w:r w:rsidRPr="004C6867">
        <w:rPr>
          <w:rFonts w:ascii="Arial" w:hAnsi="Arial" w:cs="Arial"/>
          <w:sz w:val="24"/>
          <w:lang w:val="mn-MN"/>
        </w:rPr>
        <w:t xml:space="preserve">Дэлгэрцэцэг.Ж ОБ, Оказаки.Ё. Сургуулийн өмнөх насны хүүхдийн шүд цоорох өвчин ба биеийн өсөлтийн зарим үзүүлэлтийн хамаарал. </w:t>
      </w:r>
      <w:r w:rsidRPr="004C6867">
        <w:rPr>
          <w:rFonts w:ascii="Arial" w:hAnsi="Arial" w:cs="Arial"/>
          <w:i/>
          <w:sz w:val="24"/>
          <w:lang w:val="mn-MN"/>
        </w:rPr>
        <w:t>[АУ-ны докторын зэрэг горилсон нэг сэдэвт бүтээл]</w:t>
      </w:r>
      <w:r w:rsidRPr="004C6867">
        <w:rPr>
          <w:rFonts w:ascii="Arial" w:hAnsi="Arial" w:cs="Arial"/>
          <w:sz w:val="24"/>
          <w:lang w:val="mn-MN"/>
        </w:rPr>
        <w:t xml:space="preserve">. 2016;Улаанбаатар, Анагаахын Шинжлэх Ухааны Үндэсний Их Сургууль. </w:t>
      </w:r>
    </w:p>
    <w:p w14:paraId="5A8BC5C3" w14:textId="13E2B496" w:rsidR="00575745" w:rsidRPr="004C6867" w:rsidRDefault="00575745" w:rsidP="001F58CA">
      <w:pPr>
        <w:pStyle w:val="EndNoteBibliography"/>
        <w:numPr>
          <w:ilvl w:val="0"/>
          <w:numId w:val="11"/>
        </w:numPr>
        <w:jc w:val="both"/>
        <w:rPr>
          <w:rFonts w:ascii="Arial" w:hAnsi="Arial" w:cs="Arial"/>
          <w:sz w:val="24"/>
          <w:lang w:val="mn-MN"/>
        </w:rPr>
      </w:pPr>
      <w:r w:rsidRPr="004C6867">
        <w:rPr>
          <w:rFonts w:ascii="Arial" w:hAnsi="Arial" w:cs="Arial"/>
          <w:sz w:val="24"/>
          <w:lang w:val="mn-MN"/>
        </w:rPr>
        <w:t xml:space="preserve">Сувданчимэг.А. Эцэг эхийн амны хөндийн эрүүл мэндийн мэдлэг ба хүүхдийн шүд цоорох өвчин </w:t>
      </w:r>
      <w:r w:rsidRPr="004C6867">
        <w:rPr>
          <w:rFonts w:ascii="Arial" w:hAnsi="Arial" w:cs="Arial"/>
          <w:i/>
          <w:sz w:val="24"/>
          <w:lang w:val="mn-MN"/>
        </w:rPr>
        <w:t>[АУ-ны магистарын зэрэг горилсон нэг сэдэвт бүтээл]</w:t>
      </w:r>
      <w:r w:rsidRPr="004C6867">
        <w:rPr>
          <w:rFonts w:ascii="Arial" w:hAnsi="Arial" w:cs="Arial"/>
          <w:sz w:val="24"/>
          <w:lang w:val="mn-MN"/>
        </w:rPr>
        <w:t xml:space="preserve">. 2016;Улаанбаатар, Анагаахын Шинжлэх Ухааны Үндэсний Их Сургууль. </w:t>
      </w:r>
    </w:p>
    <w:p w14:paraId="04EE03BB" w14:textId="77777777" w:rsidR="00575745" w:rsidRPr="00F022B4" w:rsidRDefault="00575745" w:rsidP="00575745">
      <w:pPr>
        <w:pStyle w:val="EndNoteBibliography"/>
        <w:ind w:firstLine="0"/>
        <w:rPr>
          <w:lang w:val="mn-MN"/>
        </w:rPr>
      </w:pPr>
    </w:p>
    <w:p w14:paraId="234482A8" w14:textId="77777777" w:rsidR="00575745" w:rsidRPr="00F022B4" w:rsidRDefault="00575745" w:rsidP="00575745">
      <w:pPr>
        <w:pStyle w:val="EndNoteBibliography"/>
        <w:ind w:firstLine="0"/>
        <w:rPr>
          <w:lang w:val="mn-MN"/>
        </w:rPr>
      </w:pPr>
    </w:p>
    <w:p w14:paraId="72AEF290" w14:textId="77777777" w:rsidR="00136172" w:rsidRDefault="00136172" w:rsidP="00DF5D53">
      <w:pPr>
        <w:pStyle w:val="Default"/>
        <w:spacing w:before="0" w:line="240" w:lineRule="auto"/>
        <w:jc w:val="both"/>
        <w:rPr>
          <w:rFonts w:ascii="Arial" w:hAnsi="Arial" w:cs="Arial"/>
          <w:color w:val="auto"/>
        </w:rPr>
      </w:pPr>
    </w:p>
    <w:p w14:paraId="3C9C784C" w14:textId="77777777" w:rsidR="00136172" w:rsidRDefault="00136172" w:rsidP="00DF5D53">
      <w:pPr>
        <w:pStyle w:val="Default"/>
        <w:spacing w:before="0" w:line="240" w:lineRule="auto"/>
        <w:jc w:val="both"/>
        <w:rPr>
          <w:rFonts w:ascii="Arial" w:hAnsi="Arial" w:cs="Arial"/>
          <w:color w:val="auto"/>
        </w:rPr>
      </w:pPr>
    </w:p>
    <w:p w14:paraId="59BFCA5C" w14:textId="77777777" w:rsidR="00136172" w:rsidRPr="00276CDB" w:rsidRDefault="00136172" w:rsidP="00DF5D53">
      <w:pPr>
        <w:pStyle w:val="Default"/>
        <w:spacing w:before="0" w:line="240" w:lineRule="auto"/>
        <w:jc w:val="both"/>
        <w:rPr>
          <w:rFonts w:ascii="Arial" w:hAnsi="Arial" w:cs="Arial"/>
          <w:color w:val="auto"/>
          <w:lang w:val="mn-MN"/>
        </w:rPr>
      </w:pPr>
    </w:p>
    <w:sectPr w:rsidR="00136172" w:rsidRPr="00276CDB" w:rsidSect="00DF5D53">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0C0A73" w14:textId="77777777" w:rsidR="00A408D7" w:rsidRDefault="00A408D7" w:rsidP="0058379C">
      <w:pPr>
        <w:spacing w:line="240" w:lineRule="auto"/>
      </w:pPr>
      <w:r>
        <w:separator/>
      </w:r>
    </w:p>
  </w:endnote>
  <w:endnote w:type="continuationSeparator" w:id="0">
    <w:p w14:paraId="13B34BDD" w14:textId="77777777" w:rsidR="00A408D7" w:rsidRDefault="00A408D7" w:rsidP="0058379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Helvetica Neue">
    <w:altName w:val="Corbel"/>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Yu Mincho">
    <w:panose1 w:val="02020400000000000000"/>
    <w:charset w:val="80"/>
    <w:family w:val="roman"/>
    <w:pitch w:val="variable"/>
    <w:sig w:usb0="800002E7" w:usb1="2AC7FCF0"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6D6408" w14:textId="77777777" w:rsidR="00A408D7" w:rsidRDefault="00A408D7" w:rsidP="0058379C">
      <w:pPr>
        <w:spacing w:line="240" w:lineRule="auto"/>
      </w:pPr>
      <w:r>
        <w:separator/>
      </w:r>
    </w:p>
  </w:footnote>
  <w:footnote w:type="continuationSeparator" w:id="0">
    <w:p w14:paraId="317AC641" w14:textId="77777777" w:rsidR="00A408D7" w:rsidRDefault="00A408D7" w:rsidP="0058379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718385" w14:textId="77777777" w:rsidR="00822739" w:rsidRPr="00DF5D53" w:rsidRDefault="00822739" w:rsidP="00DF5D53">
    <w:pPr>
      <w:pStyle w:val="Header"/>
      <w:jc w:val="right"/>
      <w:rPr>
        <w:i/>
        <w:sz w:val="20"/>
        <w:szCs w:val="20"/>
      </w:rPr>
    </w:pPr>
    <w:r>
      <w:rPr>
        <w:i/>
        <w:sz w:val="20"/>
        <w:szCs w:val="20"/>
      </w:rPr>
      <w:t>Судалгааны ажил</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D3471"/>
    <w:multiLevelType w:val="hybridMultilevel"/>
    <w:tmpl w:val="1DBAD19C"/>
    <w:lvl w:ilvl="0" w:tplc="331AD76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DB0D7F"/>
    <w:multiLevelType w:val="hybridMultilevel"/>
    <w:tmpl w:val="EBC463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F40120"/>
    <w:multiLevelType w:val="hybridMultilevel"/>
    <w:tmpl w:val="78F248C2"/>
    <w:lvl w:ilvl="0" w:tplc="8AD237D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233ACB"/>
    <w:multiLevelType w:val="hybridMultilevel"/>
    <w:tmpl w:val="6BB21C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84509E"/>
    <w:multiLevelType w:val="hybridMultilevel"/>
    <w:tmpl w:val="6FB27FA4"/>
    <w:lvl w:ilvl="0" w:tplc="331AD76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7E7A1D"/>
    <w:multiLevelType w:val="hybridMultilevel"/>
    <w:tmpl w:val="E0245F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A37CAB"/>
    <w:multiLevelType w:val="hybridMultilevel"/>
    <w:tmpl w:val="9948E2F2"/>
    <w:lvl w:ilvl="0" w:tplc="04090001">
      <w:start w:val="1"/>
      <w:numFmt w:val="bullet"/>
      <w:lvlText w:val=""/>
      <w:lvlJc w:val="left"/>
      <w:pPr>
        <w:ind w:left="985" w:hanging="360"/>
      </w:pPr>
      <w:rPr>
        <w:rFonts w:ascii="Symbol" w:hAnsi="Symbol" w:hint="default"/>
      </w:rPr>
    </w:lvl>
    <w:lvl w:ilvl="1" w:tplc="04090003" w:tentative="1">
      <w:start w:val="1"/>
      <w:numFmt w:val="bullet"/>
      <w:lvlText w:val="o"/>
      <w:lvlJc w:val="left"/>
      <w:pPr>
        <w:ind w:left="1705" w:hanging="360"/>
      </w:pPr>
      <w:rPr>
        <w:rFonts w:ascii="Courier New" w:hAnsi="Courier New" w:cs="Courier New" w:hint="default"/>
      </w:rPr>
    </w:lvl>
    <w:lvl w:ilvl="2" w:tplc="04090005" w:tentative="1">
      <w:start w:val="1"/>
      <w:numFmt w:val="bullet"/>
      <w:lvlText w:val=""/>
      <w:lvlJc w:val="left"/>
      <w:pPr>
        <w:ind w:left="2425" w:hanging="360"/>
      </w:pPr>
      <w:rPr>
        <w:rFonts w:ascii="Wingdings" w:hAnsi="Wingdings" w:hint="default"/>
      </w:rPr>
    </w:lvl>
    <w:lvl w:ilvl="3" w:tplc="04090001" w:tentative="1">
      <w:start w:val="1"/>
      <w:numFmt w:val="bullet"/>
      <w:lvlText w:val=""/>
      <w:lvlJc w:val="left"/>
      <w:pPr>
        <w:ind w:left="3145" w:hanging="360"/>
      </w:pPr>
      <w:rPr>
        <w:rFonts w:ascii="Symbol" w:hAnsi="Symbol" w:hint="default"/>
      </w:rPr>
    </w:lvl>
    <w:lvl w:ilvl="4" w:tplc="04090003" w:tentative="1">
      <w:start w:val="1"/>
      <w:numFmt w:val="bullet"/>
      <w:lvlText w:val="o"/>
      <w:lvlJc w:val="left"/>
      <w:pPr>
        <w:ind w:left="3865" w:hanging="360"/>
      </w:pPr>
      <w:rPr>
        <w:rFonts w:ascii="Courier New" w:hAnsi="Courier New" w:cs="Courier New" w:hint="default"/>
      </w:rPr>
    </w:lvl>
    <w:lvl w:ilvl="5" w:tplc="04090005" w:tentative="1">
      <w:start w:val="1"/>
      <w:numFmt w:val="bullet"/>
      <w:lvlText w:val=""/>
      <w:lvlJc w:val="left"/>
      <w:pPr>
        <w:ind w:left="4585" w:hanging="360"/>
      </w:pPr>
      <w:rPr>
        <w:rFonts w:ascii="Wingdings" w:hAnsi="Wingdings" w:hint="default"/>
      </w:rPr>
    </w:lvl>
    <w:lvl w:ilvl="6" w:tplc="04090001" w:tentative="1">
      <w:start w:val="1"/>
      <w:numFmt w:val="bullet"/>
      <w:lvlText w:val=""/>
      <w:lvlJc w:val="left"/>
      <w:pPr>
        <w:ind w:left="5305" w:hanging="360"/>
      </w:pPr>
      <w:rPr>
        <w:rFonts w:ascii="Symbol" w:hAnsi="Symbol" w:hint="default"/>
      </w:rPr>
    </w:lvl>
    <w:lvl w:ilvl="7" w:tplc="04090003" w:tentative="1">
      <w:start w:val="1"/>
      <w:numFmt w:val="bullet"/>
      <w:lvlText w:val="o"/>
      <w:lvlJc w:val="left"/>
      <w:pPr>
        <w:ind w:left="6025" w:hanging="360"/>
      </w:pPr>
      <w:rPr>
        <w:rFonts w:ascii="Courier New" w:hAnsi="Courier New" w:cs="Courier New" w:hint="default"/>
      </w:rPr>
    </w:lvl>
    <w:lvl w:ilvl="8" w:tplc="04090005" w:tentative="1">
      <w:start w:val="1"/>
      <w:numFmt w:val="bullet"/>
      <w:lvlText w:val=""/>
      <w:lvlJc w:val="left"/>
      <w:pPr>
        <w:ind w:left="6745" w:hanging="360"/>
      </w:pPr>
      <w:rPr>
        <w:rFonts w:ascii="Wingdings" w:hAnsi="Wingdings" w:hint="default"/>
      </w:rPr>
    </w:lvl>
  </w:abstractNum>
  <w:abstractNum w:abstractNumId="7" w15:restartNumberingAfterBreak="0">
    <w:nsid w:val="351B1B11"/>
    <w:multiLevelType w:val="hybridMultilevel"/>
    <w:tmpl w:val="C5329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BFD0682"/>
    <w:multiLevelType w:val="hybridMultilevel"/>
    <w:tmpl w:val="ABDA63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C1B17CD"/>
    <w:multiLevelType w:val="hybridMultilevel"/>
    <w:tmpl w:val="28107154"/>
    <w:lvl w:ilvl="0" w:tplc="45F89EBC">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FEA3AFC"/>
    <w:multiLevelType w:val="hybridMultilevel"/>
    <w:tmpl w:val="CDA02FD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72A33393"/>
    <w:multiLevelType w:val="hybridMultilevel"/>
    <w:tmpl w:val="BB0A0C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8"/>
  </w:num>
  <w:num w:numId="4">
    <w:abstractNumId w:val="6"/>
  </w:num>
  <w:num w:numId="5">
    <w:abstractNumId w:val="9"/>
  </w:num>
  <w:num w:numId="6">
    <w:abstractNumId w:val="7"/>
  </w:num>
  <w:num w:numId="7">
    <w:abstractNumId w:val="10"/>
  </w:num>
  <w:num w:numId="8">
    <w:abstractNumId w:val="4"/>
  </w:num>
  <w:num w:numId="9">
    <w:abstractNumId w:val="0"/>
  </w:num>
  <w:num w:numId="10">
    <w:abstractNumId w:val="5"/>
  </w:num>
  <w:num w:numId="11">
    <w:abstractNumId w:val="1"/>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5632"/>
    <w:rsid w:val="00051F63"/>
    <w:rsid w:val="00077139"/>
    <w:rsid w:val="001112EC"/>
    <w:rsid w:val="00133E3E"/>
    <w:rsid w:val="00136172"/>
    <w:rsid w:val="001F05C6"/>
    <w:rsid w:val="001F58CA"/>
    <w:rsid w:val="002054C7"/>
    <w:rsid w:val="002111E8"/>
    <w:rsid w:val="00276CDB"/>
    <w:rsid w:val="00285FDB"/>
    <w:rsid w:val="002A7515"/>
    <w:rsid w:val="002C3B35"/>
    <w:rsid w:val="002D5274"/>
    <w:rsid w:val="00302A9F"/>
    <w:rsid w:val="0033060C"/>
    <w:rsid w:val="003A53ED"/>
    <w:rsid w:val="003E6E1A"/>
    <w:rsid w:val="004421AB"/>
    <w:rsid w:val="0047365F"/>
    <w:rsid w:val="004857A4"/>
    <w:rsid w:val="004B10EE"/>
    <w:rsid w:val="004C6867"/>
    <w:rsid w:val="00541445"/>
    <w:rsid w:val="00575745"/>
    <w:rsid w:val="0058379C"/>
    <w:rsid w:val="005F2D97"/>
    <w:rsid w:val="006218B0"/>
    <w:rsid w:val="00683F25"/>
    <w:rsid w:val="006D026B"/>
    <w:rsid w:val="00773D9D"/>
    <w:rsid w:val="007A3F1E"/>
    <w:rsid w:val="007C4F54"/>
    <w:rsid w:val="0081255C"/>
    <w:rsid w:val="00822739"/>
    <w:rsid w:val="008B7562"/>
    <w:rsid w:val="009A64A0"/>
    <w:rsid w:val="00A06094"/>
    <w:rsid w:val="00A1090B"/>
    <w:rsid w:val="00A408D7"/>
    <w:rsid w:val="00A52370"/>
    <w:rsid w:val="00A82A58"/>
    <w:rsid w:val="00AD0DC8"/>
    <w:rsid w:val="00B20538"/>
    <w:rsid w:val="00B246B0"/>
    <w:rsid w:val="00B63FA9"/>
    <w:rsid w:val="00B95468"/>
    <w:rsid w:val="00C15632"/>
    <w:rsid w:val="00C27D52"/>
    <w:rsid w:val="00C330F1"/>
    <w:rsid w:val="00CA0F7E"/>
    <w:rsid w:val="00D10E8D"/>
    <w:rsid w:val="00D6662F"/>
    <w:rsid w:val="00DD772F"/>
    <w:rsid w:val="00DF5D53"/>
    <w:rsid w:val="00E86D9F"/>
    <w:rsid w:val="00EA3F7B"/>
    <w:rsid w:val="00EA6710"/>
    <w:rsid w:val="00F314E4"/>
    <w:rsid w:val="00F72FF6"/>
    <w:rsid w:val="00FD767F"/>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EF8E5D1"/>
  <w15:docId w15:val="{B6003A88-8F6A-455C-82C8-E7415B368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5632"/>
    <w:pPr>
      <w:spacing w:after="0" w:line="360" w:lineRule="auto"/>
      <w:ind w:firstLine="576"/>
    </w:pPr>
    <w:rPr>
      <w:rFonts w:ascii="Arial" w:eastAsia="SimSun" w:hAnsi="Arial"/>
      <w:color w:val="000000" w:themeColor="text1"/>
      <w:sz w:val="24"/>
    </w:rPr>
  </w:style>
  <w:style w:type="paragraph" w:styleId="Heading1">
    <w:name w:val="heading 1"/>
    <w:basedOn w:val="Normal"/>
    <w:next w:val="Normal"/>
    <w:link w:val="Heading1Char"/>
    <w:uiPriority w:val="9"/>
    <w:qFormat/>
    <w:rsid w:val="00C15632"/>
    <w:pPr>
      <w:keepNext/>
      <w:keepLines/>
      <w:spacing w:before="240"/>
      <w:jc w:val="center"/>
      <w:outlineLvl w:val="0"/>
    </w:pPr>
    <w:rPr>
      <w:rFonts w:eastAsiaTheme="majorEastAsia" w:cstheme="majorBidi"/>
      <w:b/>
      <w:caps/>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5632"/>
    <w:rPr>
      <w:rFonts w:ascii="Arial" w:eastAsiaTheme="majorEastAsia" w:hAnsi="Arial" w:cstheme="majorBidi"/>
      <w:b/>
      <w:caps/>
      <w:color w:val="000000" w:themeColor="text1"/>
      <w:sz w:val="28"/>
      <w:szCs w:val="32"/>
    </w:rPr>
  </w:style>
  <w:style w:type="paragraph" w:styleId="ListParagraph">
    <w:name w:val="List Paragraph"/>
    <w:basedOn w:val="Normal"/>
    <w:uiPriority w:val="34"/>
    <w:qFormat/>
    <w:rsid w:val="00C15632"/>
    <w:pPr>
      <w:spacing w:after="200" w:line="276" w:lineRule="auto"/>
      <w:ind w:left="720"/>
      <w:contextualSpacing/>
    </w:pPr>
  </w:style>
  <w:style w:type="paragraph" w:customStyle="1" w:styleId="Default">
    <w:name w:val="Default"/>
    <w:rsid w:val="00C15632"/>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sz w:val="24"/>
      <w:szCs w:val="24"/>
      <w:bdr w:val="nil"/>
    </w:rPr>
  </w:style>
  <w:style w:type="paragraph" w:styleId="BalloonText">
    <w:name w:val="Balloon Text"/>
    <w:basedOn w:val="Normal"/>
    <w:link w:val="BalloonTextChar"/>
    <w:uiPriority w:val="99"/>
    <w:semiHidden/>
    <w:unhideWhenUsed/>
    <w:rsid w:val="00B246B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46B0"/>
    <w:rPr>
      <w:rFonts w:ascii="Tahoma" w:eastAsia="SimSun" w:hAnsi="Tahoma" w:cs="Tahoma"/>
      <w:color w:val="000000" w:themeColor="text1"/>
      <w:sz w:val="16"/>
      <w:szCs w:val="16"/>
    </w:rPr>
  </w:style>
  <w:style w:type="table" w:styleId="TableGrid">
    <w:name w:val="Table Grid"/>
    <w:basedOn w:val="TableNormal"/>
    <w:uiPriority w:val="39"/>
    <w:rsid w:val="00B246B0"/>
    <w:pPr>
      <w:spacing w:after="0" w:line="240" w:lineRule="auto"/>
    </w:pPr>
    <w:rPr>
      <w:rFonts w:eastAsia="SimSu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58379C"/>
    <w:pPr>
      <w:tabs>
        <w:tab w:val="center" w:pos="4320"/>
        <w:tab w:val="right" w:pos="8640"/>
      </w:tabs>
      <w:spacing w:line="240" w:lineRule="auto"/>
    </w:pPr>
  </w:style>
  <w:style w:type="character" w:customStyle="1" w:styleId="HeaderChar">
    <w:name w:val="Header Char"/>
    <w:basedOn w:val="DefaultParagraphFont"/>
    <w:link w:val="Header"/>
    <w:uiPriority w:val="99"/>
    <w:rsid w:val="0058379C"/>
    <w:rPr>
      <w:rFonts w:ascii="Arial" w:eastAsia="SimSun" w:hAnsi="Arial"/>
      <w:color w:val="000000" w:themeColor="text1"/>
      <w:sz w:val="24"/>
    </w:rPr>
  </w:style>
  <w:style w:type="paragraph" w:styleId="Footer">
    <w:name w:val="footer"/>
    <w:basedOn w:val="Normal"/>
    <w:link w:val="FooterChar"/>
    <w:uiPriority w:val="99"/>
    <w:unhideWhenUsed/>
    <w:rsid w:val="0058379C"/>
    <w:pPr>
      <w:tabs>
        <w:tab w:val="center" w:pos="4320"/>
        <w:tab w:val="right" w:pos="8640"/>
      </w:tabs>
      <w:spacing w:line="240" w:lineRule="auto"/>
    </w:pPr>
  </w:style>
  <w:style w:type="character" w:customStyle="1" w:styleId="FooterChar">
    <w:name w:val="Footer Char"/>
    <w:basedOn w:val="DefaultParagraphFont"/>
    <w:link w:val="Footer"/>
    <w:uiPriority w:val="99"/>
    <w:rsid w:val="0058379C"/>
    <w:rPr>
      <w:rFonts w:ascii="Arial" w:eastAsia="SimSun" w:hAnsi="Arial"/>
      <w:color w:val="000000" w:themeColor="text1"/>
      <w:sz w:val="24"/>
    </w:rPr>
  </w:style>
  <w:style w:type="paragraph" w:styleId="NoSpacing">
    <w:name w:val="No Spacing"/>
    <w:uiPriority w:val="1"/>
    <w:qFormat/>
    <w:rsid w:val="00DF5D53"/>
    <w:pPr>
      <w:spacing w:after="0" w:line="240" w:lineRule="auto"/>
      <w:ind w:firstLine="576"/>
    </w:pPr>
    <w:rPr>
      <w:rFonts w:ascii="Arial" w:eastAsia="SimSun" w:hAnsi="Arial"/>
      <w:color w:val="000000" w:themeColor="text1"/>
      <w:sz w:val="24"/>
    </w:rPr>
  </w:style>
  <w:style w:type="character" w:styleId="Emphasis">
    <w:name w:val="Emphasis"/>
    <w:basedOn w:val="DefaultParagraphFont"/>
    <w:uiPriority w:val="20"/>
    <w:qFormat/>
    <w:rsid w:val="0081255C"/>
    <w:rPr>
      <w:i/>
      <w:iCs/>
    </w:rPr>
  </w:style>
  <w:style w:type="paragraph" w:customStyle="1" w:styleId="EndNoteBibliography">
    <w:name w:val="EndNote Bibliography"/>
    <w:basedOn w:val="Normal"/>
    <w:link w:val="EndNoteBibliographyChar"/>
    <w:rsid w:val="00575745"/>
    <w:pPr>
      <w:spacing w:line="240" w:lineRule="auto"/>
    </w:pPr>
    <w:rPr>
      <w:rFonts w:ascii="Calibri" w:hAnsi="Calibri" w:cs="Calibri"/>
      <w:noProof/>
      <w:sz w:val="22"/>
    </w:rPr>
  </w:style>
  <w:style w:type="character" w:customStyle="1" w:styleId="EndNoteBibliographyChar">
    <w:name w:val="EndNote Bibliography Char"/>
    <w:basedOn w:val="DefaultParagraphFont"/>
    <w:link w:val="EndNoteBibliography"/>
    <w:rsid w:val="00575745"/>
    <w:rPr>
      <w:rFonts w:ascii="Calibri" w:eastAsia="SimSun" w:hAnsi="Calibri" w:cs="Calibri"/>
      <w:noProof/>
      <w:color w:val="00000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3" Type="http://schemas.openxmlformats.org/officeDocument/2006/relationships/settings" Target="setting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C:\Users\HiTech\Desktop\Undsen-data-Apr11.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HiTech\Desktop\&#1057;&#1199;&#1199;&#1083;&#1080;&#1081;&#1085;%20&#1199;&#1088;%20&#1076;&#1199;&#1085;.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32950717404866"/>
          <c:y val="0.16820647419072601"/>
          <c:w val="0.83960074859638301"/>
          <c:h val="0.58771162376632802"/>
        </c:manualLayout>
      </c:layout>
      <c:barChart>
        <c:barDir val="col"/>
        <c:grouping val="stacked"/>
        <c:varyColors val="0"/>
        <c:ser>
          <c:idx val="0"/>
          <c:order val="0"/>
          <c:tx>
            <c:strRef>
              <c:f>Total!$H$27</c:f>
              <c:strCache>
                <c:ptCount val="1"/>
                <c:pt idx="0">
                  <c:v>Эрүүл</c:v>
                </c:pt>
              </c:strCache>
            </c:strRef>
          </c:tx>
          <c:spPr>
            <a:solidFill>
              <a:schemeClr val="accent4">
                <a:lumMod val="40000"/>
                <a:lumOff val="60000"/>
              </a:schemeClr>
            </a:solidFill>
            <a:ln>
              <a:noFill/>
            </a:ln>
            <a:effectLst/>
          </c:spPr>
          <c:invertIfNegative val="0"/>
          <c:dLbls>
            <c:spPr>
              <a:noFill/>
              <a:ln>
                <a:noFill/>
              </a:ln>
              <a:effectLst/>
            </c:spPr>
            <c:txPr>
              <a:bodyPr rot="0" spcFirstLastPara="1" vertOverflow="ellipsis" vert="horz" wrap="square" anchor="ctr" anchorCtr="1"/>
              <a:lstStyle/>
              <a:p>
                <a:pPr>
                  <a:defRPr sz="14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Total!$G$28:$G$30</c:f>
              <c:strCache>
                <c:ptCount val="3"/>
                <c:pt idx="0">
                  <c:v>Сүүн шүдний зуулт</c:v>
                </c:pt>
                <c:pt idx="1">
                  <c:v>Холимог зуулт</c:v>
                </c:pt>
                <c:pt idx="2">
                  <c:v>Байнгын шүдний зуулт</c:v>
                </c:pt>
              </c:strCache>
            </c:strRef>
          </c:cat>
          <c:val>
            <c:numRef>
              <c:f>Total!$H$28:$H$30</c:f>
              <c:numCache>
                <c:formatCode>0.0%</c:formatCode>
                <c:ptCount val="3"/>
                <c:pt idx="0">
                  <c:v>0.5</c:v>
                </c:pt>
                <c:pt idx="1">
                  <c:v>0.39100000000000101</c:v>
                </c:pt>
                <c:pt idx="2">
                  <c:v>0.41199999999999998</c:v>
                </c:pt>
              </c:numCache>
            </c:numRef>
          </c:val>
          <c:extLst xmlns:c16r2="http://schemas.microsoft.com/office/drawing/2015/06/chart">
            <c:ext xmlns:c16="http://schemas.microsoft.com/office/drawing/2014/chart" uri="{C3380CC4-5D6E-409C-BE32-E72D297353CC}">
              <c16:uniqueId val="{00000000-FE0B-4D43-8DA8-EE19C0F41987}"/>
            </c:ext>
          </c:extLst>
        </c:ser>
        <c:ser>
          <c:idx val="1"/>
          <c:order val="1"/>
          <c:tx>
            <c:strRef>
              <c:f>Total!$I$27</c:f>
              <c:strCache>
                <c:ptCount val="1"/>
                <c:pt idx="0">
                  <c:v>Буйлны үрэвсэл</c:v>
                </c:pt>
              </c:strCache>
            </c:strRef>
          </c:tx>
          <c:spPr>
            <a:solidFill>
              <a:schemeClr val="accent5">
                <a:lumMod val="40000"/>
                <a:lumOff val="60000"/>
              </a:schemeClr>
            </a:solidFill>
            <a:ln>
              <a:noFill/>
            </a:ln>
            <a:effectLst/>
          </c:spPr>
          <c:invertIfNegative val="0"/>
          <c:dLbls>
            <c:spPr>
              <a:noFill/>
              <a:ln>
                <a:noFill/>
              </a:ln>
              <a:effectLst/>
            </c:spPr>
            <c:txPr>
              <a:bodyPr rot="0" spcFirstLastPara="1" vertOverflow="ellipsis" vert="horz" wrap="square" anchor="ctr" anchorCtr="1"/>
              <a:lstStyle/>
              <a:p>
                <a:pPr>
                  <a:defRPr sz="14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Total!$G$28:$G$30</c:f>
              <c:strCache>
                <c:ptCount val="3"/>
                <c:pt idx="0">
                  <c:v>Сүүн шүдний зуулт</c:v>
                </c:pt>
                <c:pt idx="1">
                  <c:v>Холимог зуулт</c:v>
                </c:pt>
                <c:pt idx="2">
                  <c:v>Байнгын шүдний зуулт</c:v>
                </c:pt>
              </c:strCache>
            </c:strRef>
          </c:cat>
          <c:val>
            <c:numRef>
              <c:f>Total!$I$28:$I$30</c:f>
              <c:numCache>
                <c:formatCode>0.0%</c:formatCode>
                <c:ptCount val="3"/>
                <c:pt idx="0">
                  <c:v>0.5</c:v>
                </c:pt>
                <c:pt idx="1">
                  <c:v>0.60900000000000098</c:v>
                </c:pt>
                <c:pt idx="2">
                  <c:v>0.58799999999999997</c:v>
                </c:pt>
              </c:numCache>
            </c:numRef>
          </c:val>
          <c:extLst xmlns:c16r2="http://schemas.microsoft.com/office/drawing/2015/06/chart">
            <c:ext xmlns:c16="http://schemas.microsoft.com/office/drawing/2014/chart" uri="{C3380CC4-5D6E-409C-BE32-E72D297353CC}">
              <c16:uniqueId val="{00000001-FE0B-4D43-8DA8-EE19C0F41987}"/>
            </c:ext>
          </c:extLst>
        </c:ser>
        <c:dLbls>
          <c:showLegendKey val="0"/>
          <c:showVal val="1"/>
          <c:showCatName val="0"/>
          <c:showSerName val="0"/>
          <c:showPercent val="0"/>
          <c:showBubbleSize val="0"/>
        </c:dLbls>
        <c:gapWidth val="150"/>
        <c:overlap val="100"/>
        <c:axId val="461804584"/>
        <c:axId val="461805760"/>
      </c:barChart>
      <c:catAx>
        <c:axId val="4618045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crossAx val="461805760"/>
        <c:crosses val="autoZero"/>
        <c:auto val="1"/>
        <c:lblAlgn val="ctr"/>
        <c:lblOffset val="100"/>
        <c:noMultiLvlLbl val="0"/>
      </c:catAx>
      <c:valAx>
        <c:axId val="461805760"/>
        <c:scaling>
          <c:orientation val="minMax"/>
          <c:max val="1"/>
        </c:scaling>
        <c:delete val="0"/>
        <c:axPos val="l"/>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crossAx val="461804584"/>
        <c:crosses val="autoZero"/>
        <c:crossBetween val="between"/>
        <c:minorUnit val="0.5"/>
      </c:valAx>
      <c:spPr>
        <a:no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lgn="just">
        <a:defRPr sz="1100">
          <a:solidFill>
            <a:schemeClr val="tx1"/>
          </a:solidFill>
          <a:latin typeface="Arial" panose="020B0604020202020204" pitchFamily="34" charset="0"/>
          <a:cs typeface="Arial" panose="020B0604020202020204" pitchFamily="34" charset="0"/>
        </a:defRPr>
      </a:pPr>
      <a:endParaRPr lang="en-US"/>
    </a:p>
  </c:txPr>
  <c:externalData r:id="rId1">
    <c:autoUpdate val="0"/>
  </c:externalData>
  <c:userShapes r:id="rId2"/>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'Res-4'!$M$9</c:f>
              <c:strCache>
                <c:ptCount val="1"/>
                <c:pt idx="0">
                  <c:v>Сайн</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4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'Res-4'!$N$8:$P$8</c:f>
              <c:strCache>
                <c:ptCount val="3"/>
                <c:pt idx="0">
                  <c:v>Байнгын</c:v>
                </c:pt>
                <c:pt idx="1">
                  <c:v>Холимог</c:v>
                </c:pt>
                <c:pt idx="2">
                  <c:v>Сүүн</c:v>
                </c:pt>
              </c:strCache>
            </c:strRef>
          </c:cat>
          <c:val>
            <c:numRef>
              <c:f>'Res-4'!$N$9:$P$9</c:f>
              <c:numCache>
                <c:formatCode>###0.0%</c:formatCode>
                <c:ptCount val="3"/>
                <c:pt idx="0">
                  <c:v>0.35294117647058798</c:v>
                </c:pt>
                <c:pt idx="1">
                  <c:v>0.39100000000000101</c:v>
                </c:pt>
                <c:pt idx="2">
                  <c:v>0.3</c:v>
                </c:pt>
              </c:numCache>
            </c:numRef>
          </c:val>
          <c:extLst xmlns:c16r2="http://schemas.microsoft.com/office/drawing/2015/06/chart">
            <c:ext xmlns:c16="http://schemas.microsoft.com/office/drawing/2014/chart" uri="{C3380CC4-5D6E-409C-BE32-E72D297353CC}">
              <c16:uniqueId val="{00000000-69F8-463F-BDF5-66EF2C1D85B7}"/>
            </c:ext>
          </c:extLst>
        </c:ser>
        <c:ser>
          <c:idx val="1"/>
          <c:order val="1"/>
          <c:tx>
            <c:strRef>
              <c:f>'Res-4'!$M$10</c:f>
              <c:strCache>
                <c:ptCount val="1"/>
                <c:pt idx="0">
                  <c:v>Дунд</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4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'Res-4'!$N$8:$P$8</c:f>
              <c:strCache>
                <c:ptCount val="3"/>
                <c:pt idx="0">
                  <c:v>Байнгын</c:v>
                </c:pt>
                <c:pt idx="1">
                  <c:v>Холимог</c:v>
                </c:pt>
                <c:pt idx="2">
                  <c:v>Сүүн</c:v>
                </c:pt>
              </c:strCache>
            </c:strRef>
          </c:cat>
          <c:val>
            <c:numRef>
              <c:f>'Res-4'!$N$10:$P$10</c:f>
              <c:numCache>
                <c:formatCode>###0.0%</c:formatCode>
                <c:ptCount val="3"/>
                <c:pt idx="0">
                  <c:v>0.58823529411764597</c:v>
                </c:pt>
                <c:pt idx="1">
                  <c:v>0.56499999999999995</c:v>
                </c:pt>
                <c:pt idx="2">
                  <c:v>0.70000000000000095</c:v>
                </c:pt>
              </c:numCache>
            </c:numRef>
          </c:val>
          <c:extLst xmlns:c16r2="http://schemas.microsoft.com/office/drawing/2015/06/chart">
            <c:ext xmlns:c16="http://schemas.microsoft.com/office/drawing/2014/chart" uri="{C3380CC4-5D6E-409C-BE32-E72D297353CC}">
              <c16:uniqueId val="{00000001-69F8-463F-BDF5-66EF2C1D85B7}"/>
            </c:ext>
          </c:extLst>
        </c:ser>
        <c:ser>
          <c:idx val="2"/>
          <c:order val="2"/>
          <c:tx>
            <c:strRef>
              <c:f>'Res-4'!$M$11</c:f>
              <c:strCache>
                <c:ptCount val="1"/>
                <c:pt idx="0">
                  <c:v>Муу</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4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'Res-4'!$N$8:$P$8</c:f>
              <c:strCache>
                <c:ptCount val="3"/>
                <c:pt idx="0">
                  <c:v>Байнгын</c:v>
                </c:pt>
                <c:pt idx="1">
                  <c:v>Холимог</c:v>
                </c:pt>
                <c:pt idx="2">
                  <c:v>Сүүн</c:v>
                </c:pt>
              </c:strCache>
            </c:strRef>
          </c:cat>
          <c:val>
            <c:numRef>
              <c:f>'Res-4'!$N$11:$P$11</c:f>
              <c:numCache>
                <c:formatCode>###0.0%</c:formatCode>
                <c:ptCount val="3"/>
                <c:pt idx="0">
                  <c:v>5.8823529411764698E-2</c:v>
                </c:pt>
                <c:pt idx="1">
                  <c:v>4.3999999999999997E-2</c:v>
                </c:pt>
                <c:pt idx="2">
                  <c:v>0</c:v>
                </c:pt>
              </c:numCache>
            </c:numRef>
          </c:val>
          <c:extLst xmlns:c16r2="http://schemas.microsoft.com/office/drawing/2015/06/chart">
            <c:ext xmlns:c16="http://schemas.microsoft.com/office/drawing/2014/chart" uri="{C3380CC4-5D6E-409C-BE32-E72D297353CC}">
              <c16:uniqueId val="{00000002-69F8-463F-BDF5-66EF2C1D85B7}"/>
            </c:ext>
          </c:extLst>
        </c:ser>
        <c:dLbls>
          <c:showLegendKey val="0"/>
          <c:showVal val="1"/>
          <c:showCatName val="0"/>
          <c:showSerName val="0"/>
          <c:showPercent val="0"/>
          <c:showBubbleSize val="0"/>
        </c:dLbls>
        <c:gapWidth val="150"/>
        <c:axId val="461801840"/>
        <c:axId val="531933600"/>
      </c:barChart>
      <c:catAx>
        <c:axId val="461801840"/>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531933600"/>
        <c:crosses val="autoZero"/>
        <c:auto val="1"/>
        <c:lblAlgn val="ctr"/>
        <c:lblOffset val="100"/>
        <c:noMultiLvlLbl val="0"/>
      </c:catAx>
      <c:valAx>
        <c:axId val="531933600"/>
        <c:scaling>
          <c:orientation val="minMax"/>
          <c:max val="1"/>
        </c:scaling>
        <c:delete val="0"/>
        <c:axPos val="b"/>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4618018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drawings/drawing1.xml><?xml version="1.0" encoding="utf-8"?>
<c:userShapes xmlns:c="http://schemas.openxmlformats.org/drawingml/2006/chart">
  <cdr:relSizeAnchor xmlns:cdr="http://schemas.openxmlformats.org/drawingml/2006/chartDrawing">
    <cdr:from>
      <cdr:x>0.7314</cdr:x>
      <cdr:y>0.90868</cdr:y>
    </cdr:from>
    <cdr:to>
      <cdr:x>0.97282</cdr:x>
      <cdr:y>0.99055</cdr:y>
    </cdr:to>
    <cdr:sp macro="" textlink="">
      <cdr:nvSpPr>
        <cdr:cNvPr id="2" name="TextBox 1"/>
        <cdr:cNvSpPr txBox="1"/>
      </cdr:nvSpPr>
      <cdr:spPr>
        <a:xfrm xmlns:a="http://schemas.openxmlformats.org/drawingml/2006/main">
          <a:off x="3720903" y="2955610"/>
          <a:ext cx="1228206" cy="266298"/>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en-US" sz="900">
            <a:latin typeface="Arial" panose="020B0604020202020204" pitchFamily="34" charset="0"/>
            <a:cs typeface="Arial" panose="020B0604020202020204" pitchFamily="34" charset="0"/>
          </a:endParaRPr>
        </a:p>
      </cdr:txBody>
    </cdr:sp>
  </cdr:relSizeAnchor>
  <cdr:relSizeAnchor xmlns:cdr="http://schemas.openxmlformats.org/drawingml/2006/chartDrawing">
    <cdr:from>
      <cdr:x>0.26797</cdr:x>
      <cdr:y>0.06547</cdr:y>
    </cdr:from>
    <cdr:to>
      <cdr:x>0.26831</cdr:x>
      <cdr:y>0.16959</cdr:y>
    </cdr:to>
    <cdr:cxnSp macro="">
      <cdr:nvCxnSpPr>
        <cdr:cNvPr id="4" name="Straight Connector 3"/>
        <cdr:cNvCxnSpPr/>
      </cdr:nvCxnSpPr>
      <cdr:spPr>
        <a:xfrm xmlns:a="http://schemas.openxmlformats.org/drawingml/2006/main">
          <a:off x="1363284" y="212948"/>
          <a:ext cx="1692" cy="338668"/>
        </a:xfrm>
        <a:prstGeom xmlns:a="http://schemas.openxmlformats.org/drawingml/2006/main" prst="line">
          <a:avLst/>
        </a:prstGeom>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cxnSp>
  </cdr:relSizeAnchor>
  <cdr:relSizeAnchor xmlns:cdr="http://schemas.openxmlformats.org/drawingml/2006/chartDrawing">
    <cdr:from>
      <cdr:x>0.54772</cdr:x>
      <cdr:y>0.07115</cdr:y>
    </cdr:from>
    <cdr:to>
      <cdr:x>0.54772</cdr:x>
      <cdr:y>0.16764</cdr:y>
    </cdr:to>
    <cdr:cxnSp macro="">
      <cdr:nvCxnSpPr>
        <cdr:cNvPr id="8" name="Straight Connector 7"/>
        <cdr:cNvCxnSpPr/>
      </cdr:nvCxnSpPr>
      <cdr:spPr>
        <a:xfrm xmlns:a="http://schemas.openxmlformats.org/drawingml/2006/main">
          <a:off x="2787650" y="231775"/>
          <a:ext cx="0" cy="314325"/>
        </a:xfrm>
        <a:prstGeom xmlns:a="http://schemas.openxmlformats.org/drawingml/2006/main" prst="line">
          <a:avLst/>
        </a:prstGeom>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cxnSp>
  </cdr:relSizeAnchor>
  <cdr:relSizeAnchor xmlns:cdr="http://schemas.openxmlformats.org/drawingml/2006/chartDrawing">
    <cdr:from>
      <cdr:x>0.82658</cdr:x>
      <cdr:y>0.07115</cdr:y>
    </cdr:from>
    <cdr:to>
      <cdr:x>0.82658</cdr:x>
      <cdr:y>0.16764</cdr:y>
    </cdr:to>
    <cdr:cxnSp macro="">
      <cdr:nvCxnSpPr>
        <cdr:cNvPr id="9" name="Straight Connector 8"/>
        <cdr:cNvCxnSpPr/>
      </cdr:nvCxnSpPr>
      <cdr:spPr>
        <a:xfrm xmlns:a="http://schemas.openxmlformats.org/drawingml/2006/main">
          <a:off x="4206875" y="231775"/>
          <a:ext cx="0" cy="314325"/>
        </a:xfrm>
        <a:prstGeom xmlns:a="http://schemas.openxmlformats.org/drawingml/2006/main" prst="line">
          <a:avLst/>
        </a:prstGeom>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cxnSp>
  </cdr:relSizeAnchor>
  <cdr:relSizeAnchor xmlns:cdr="http://schemas.openxmlformats.org/drawingml/2006/chartDrawing">
    <cdr:from>
      <cdr:x>0.52019</cdr:x>
      <cdr:y>0.0092</cdr:y>
    </cdr:from>
    <cdr:to>
      <cdr:x>0.61284</cdr:x>
      <cdr:y>0.06231</cdr:y>
    </cdr:to>
    <cdr:sp macro="" textlink="">
      <cdr:nvSpPr>
        <cdr:cNvPr id="14" name="TextBox 13"/>
        <cdr:cNvSpPr txBox="1"/>
      </cdr:nvSpPr>
      <cdr:spPr>
        <a:xfrm xmlns:a="http://schemas.openxmlformats.org/drawingml/2006/main">
          <a:off x="2650353" y="30080"/>
          <a:ext cx="472003" cy="173673"/>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en-US" sz="900">
            <a:latin typeface="Arial" panose="020B0604020202020204" pitchFamily="34" charset="0"/>
            <a:cs typeface="Arial" panose="020B0604020202020204" pitchFamily="34" charset="0"/>
          </a:endParaRPr>
        </a:p>
      </cdr:txBody>
    </cdr:sp>
  </cdr:relSizeAnchor>
  <cdr:relSizeAnchor xmlns:cdr="http://schemas.openxmlformats.org/drawingml/2006/chartDrawing">
    <cdr:from>
      <cdr:x>0.26713</cdr:x>
      <cdr:y>0.06638</cdr:y>
    </cdr:from>
    <cdr:to>
      <cdr:x>0.82699</cdr:x>
      <cdr:y>0.06931</cdr:y>
    </cdr:to>
    <cdr:cxnSp macro="">
      <cdr:nvCxnSpPr>
        <cdr:cNvPr id="5" name="Straight Connector 4"/>
        <cdr:cNvCxnSpPr/>
      </cdr:nvCxnSpPr>
      <cdr:spPr>
        <a:xfrm xmlns:a="http://schemas.openxmlformats.org/drawingml/2006/main">
          <a:off x="1358900" y="215900"/>
          <a:ext cx="2847975" cy="9525"/>
        </a:xfrm>
        <a:prstGeom xmlns:a="http://schemas.openxmlformats.org/drawingml/2006/main" prst="line">
          <a:avLst/>
        </a:prstGeom>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cxn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6</Pages>
  <Words>1921</Words>
  <Characters>10952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HiTech</dc:creator>
  <cp:lastModifiedBy>Nasantogtokh E</cp:lastModifiedBy>
  <cp:revision>27</cp:revision>
  <dcterms:created xsi:type="dcterms:W3CDTF">2023-04-13T01:30:00Z</dcterms:created>
  <dcterms:modified xsi:type="dcterms:W3CDTF">2023-09-27T07:10:00Z</dcterms:modified>
</cp:coreProperties>
</file>