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843F2" w14:textId="77777777" w:rsidR="00CF5397" w:rsidRPr="00ED2338" w:rsidRDefault="00452900" w:rsidP="00ED2338">
      <w:pPr>
        <w:pStyle w:val="Default"/>
        <w:jc w:val="center"/>
        <w:rPr>
          <w:rFonts w:ascii="Arial" w:hAnsi="Arial" w:cs="Arial"/>
          <w:bCs/>
          <w:lang w:val="mn-MN"/>
        </w:rPr>
      </w:pPr>
      <w:r w:rsidRPr="00ED2338">
        <w:rPr>
          <w:rFonts w:ascii="Arial" w:hAnsi="Arial" w:cs="Arial"/>
          <w:bCs/>
          <w:lang w:val="mn-MN"/>
        </w:rPr>
        <w:t>ТӨРӨЛХИЙН БОЛОР ЦАЙХ ӨВЧНИЙ МЭС ЗАСЛЫН ХҮЛЭЭГДЛИЙН ХУГАЦАА БА МЭС ЗАСЛЫН ДАРААХ ХАРААНЫ ЧАДАЛ ХООРОНДЫН ХАМААРАЛ: РЕТРОСПЕКТИВ ТУУШ СУДАЛГАА</w:t>
      </w:r>
    </w:p>
    <w:p w14:paraId="5A63A061" w14:textId="41845EFE" w:rsidR="002D6292" w:rsidRPr="00291E5D" w:rsidRDefault="002D6292" w:rsidP="00ED2338">
      <w:pPr>
        <w:spacing w:after="0" w:line="240" w:lineRule="auto"/>
        <w:jc w:val="right"/>
        <w:rPr>
          <w:rFonts w:ascii="Arial" w:eastAsia="Times New Roman" w:hAnsi="Arial" w:cs="Arial"/>
          <w:i/>
          <w:sz w:val="20"/>
          <w:szCs w:val="20"/>
          <w:vertAlign w:val="superscript"/>
          <w:lang w:val="mn-MN"/>
        </w:rPr>
      </w:pPr>
      <w:r w:rsidRPr="00291E5D">
        <w:rPr>
          <w:rFonts w:ascii="Arial" w:eastAsia="Times New Roman" w:hAnsi="Arial" w:cs="Arial"/>
          <w:i/>
          <w:color w:val="000000"/>
          <w:sz w:val="20"/>
          <w:szCs w:val="20"/>
          <w:lang w:val="ru-RU"/>
        </w:rPr>
        <w:t>М.Шамсия</w:t>
      </w:r>
      <w:r w:rsidRPr="00291E5D">
        <w:rPr>
          <w:rFonts w:ascii="Arial" w:eastAsia="Times New Roman" w:hAnsi="Arial" w:cs="Arial"/>
          <w:i/>
          <w:color w:val="000000"/>
          <w:sz w:val="20"/>
          <w:szCs w:val="20"/>
          <w:vertAlign w:val="superscript"/>
          <w:lang w:val="mn-MN"/>
        </w:rPr>
        <w:t>1,2</w:t>
      </w:r>
      <w:r w:rsidRPr="00291E5D">
        <w:rPr>
          <w:rFonts w:ascii="Arial" w:eastAsia="Times New Roman" w:hAnsi="Arial" w:cs="Arial"/>
          <w:i/>
          <w:color w:val="000000"/>
          <w:sz w:val="20"/>
          <w:szCs w:val="20"/>
          <w:lang w:val="ru-RU"/>
        </w:rPr>
        <w:t xml:space="preserve">, </w:t>
      </w:r>
      <w:r w:rsidRPr="00291E5D">
        <w:rPr>
          <w:rFonts w:ascii="Arial" w:hAnsi="Arial" w:cs="Arial"/>
          <w:i/>
          <w:sz w:val="20"/>
          <w:szCs w:val="20"/>
          <w:lang w:val="mn-MN"/>
        </w:rPr>
        <w:t>Э.Насантогтох</w:t>
      </w:r>
      <w:r w:rsidRPr="00291E5D">
        <w:rPr>
          <w:rFonts w:ascii="Arial" w:hAnsi="Arial" w:cs="Arial"/>
          <w:i/>
          <w:sz w:val="20"/>
          <w:szCs w:val="20"/>
          <w:vertAlign w:val="superscript"/>
          <w:lang w:val="mn-MN"/>
        </w:rPr>
        <w:t>2</w:t>
      </w:r>
      <w:r w:rsidRPr="00291E5D">
        <w:rPr>
          <w:rFonts w:ascii="Arial" w:eastAsia="Times New Roman" w:hAnsi="Arial" w:cs="Arial"/>
          <w:i/>
          <w:color w:val="000000"/>
          <w:sz w:val="20"/>
          <w:szCs w:val="20"/>
          <w:lang w:val="mn-MN"/>
        </w:rPr>
        <w:t xml:space="preserve"> , </w:t>
      </w:r>
      <w:r w:rsidRPr="00291E5D">
        <w:rPr>
          <w:rFonts w:ascii="Arial" w:eastAsia="Times New Roman" w:hAnsi="Arial" w:cs="Arial"/>
          <w:i/>
          <w:color w:val="000000"/>
          <w:sz w:val="20"/>
          <w:szCs w:val="20"/>
          <w:lang w:val="ru-RU"/>
        </w:rPr>
        <w:t>Д.</w:t>
      </w:r>
      <w:r w:rsidRPr="00291E5D">
        <w:rPr>
          <w:rFonts w:ascii="Arial" w:eastAsia="Times New Roman" w:hAnsi="Arial" w:cs="Arial"/>
          <w:i/>
          <w:color w:val="000000"/>
          <w:sz w:val="20"/>
          <w:szCs w:val="20"/>
          <w:lang w:val="mn-MN"/>
        </w:rPr>
        <w:t xml:space="preserve"> </w:t>
      </w:r>
      <w:r w:rsidRPr="00291E5D">
        <w:rPr>
          <w:rFonts w:ascii="Arial" w:eastAsia="Times New Roman" w:hAnsi="Arial" w:cs="Arial"/>
          <w:i/>
          <w:color w:val="000000"/>
          <w:sz w:val="20"/>
          <w:szCs w:val="20"/>
          <w:lang w:val="ru-RU"/>
        </w:rPr>
        <w:t>Уранчимэг</w:t>
      </w:r>
      <w:r w:rsidRPr="00291E5D">
        <w:rPr>
          <w:rFonts w:ascii="Arial" w:eastAsia="Times New Roman" w:hAnsi="Arial" w:cs="Arial"/>
          <w:i/>
          <w:color w:val="000000"/>
          <w:sz w:val="20"/>
          <w:szCs w:val="20"/>
          <w:vertAlign w:val="superscript"/>
          <w:lang w:val="mn-MN"/>
        </w:rPr>
        <w:t>1</w:t>
      </w:r>
      <w:r w:rsidRPr="00291E5D">
        <w:rPr>
          <w:rFonts w:ascii="Arial" w:eastAsia="Times New Roman" w:hAnsi="Arial" w:cs="Arial"/>
          <w:i/>
          <w:color w:val="000000"/>
          <w:sz w:val="20"/>
          <w:szCs w:val="20"/>
          <w:lang w:val="ru-RU"/>
        </w:rPr>
        <w:t>, Г.Даваа</w:t>
      </w:r>
      <w:r w:rsidR="00C804B6" w:rsidRPr="00291E5D">
        <w:rPr>
          <w:rFonts w:ascii="Arial" w:eastAsia="Times New Roman" w:hAnsi="Arial" w:cs="Arial"/>
          <w:i/>
          <w:color w:val="000000"/>
          <w:sz w:val="20"/>
          <w:szCs w:val="20"/>
          <w:vertAlign w:val="superscript"/>
          <w:lang w:val="mn-MN"/>
        </w:rPr>
        <w:t>1</w:t>
      </w:r>
      <w:r w:rsidR="007D10EF" w:rsidRPr="00291E5D">
        <w:rPr>
          <w:rFonts w:ascii="Arial" w:eastAsia="Times New Roman" w:hAnsi="Arial" w:cs="Arial"/>
          <w:i/>
          <w:color w:val="000000"/>
          <w:sz w:val="20"/>
          <w:szCs w:val="20"/>
        </w:rPr>
        <w:t>,</w:t>
      </w:r>
      <w:r w:rsidR="00C804B6" w:rsidRPr="00291E5D">
        <w:rPr>
          <w:rFonts w:ascii="Arial" w:eastAsia="Times New Roman" w:hAnsi="Arial" w:cs="Arial"/>
          <w:i/>
          <w:color w:val="000000"/>
          <w:sz w:val="20"/>
          <w:szCs w:val="20"/>
          <w:lang w:val="mn-MN"/>
        </w:rPr>
        <w:t xml:space="preserve"> Г.Эрдэнэтуяа</w:t>
      </w:r>
      <w:r w:rsidR="00C804B6" w:rsidRPr="00291E5D">
        <w:rPr>
          <w:rFonts w:ascii="Arial" w:eastAsia="Times New Roman" w:hAnsi="Arial" w:cs="Arial"/>
          <w:i/>
          <w:color w:val="000000"/>
          <w:sz w:val="20"/>
          <w:szCs w:val="20"/>
          <w:vertAlign w:val="superscript"/>
          <w:lang w:val="mn-MN"/>
        </w:rPr>
        <w:t>1</w:t>
      </w:r>
    </w:p>
    <w:p w14:paraId="2581A626" w14:textId="0E3D0088" w:rsidR="00822285" w:rsidRPr="00291E5D" w:rsidRDefault="0047262C" w:rsidP="00ED2338">
      <w:pPr>
        <w:spacing w:after="0" w:line="240" w:lineRule="auto"/>
        <w:ind w:left="4111"/>
        <w:jc w:val="right"/>
        <w:rPr>
          <w:rFonts w:ascii="Arial" w:eastAsia="Times New Roman" w:hAnsi="Arial" w:cs="Arial"/>
          <w:i/>
          <w:color w:val="000000"/>
          <w:sz w:val="20"/>
          <w:szCs w:val="20"/>
          <w:vertAlign w:val="superscript"/>
          <w:lang w:val="mn-MN"/>
        </w:rPr>
      </w:pPr>
      <w:r w:rsidRPr="00291E5D">
        <w:rPr>
          <w:rFonts w:ascii="Arial" w:eastAsia="Times New Roman" w:hAnsi="Arial" w:cs="Arial"/>
          <w:i/>
          <w:color w:val="000000"/>
          <w:sz w:val="20"/>
          <w:szCs w:val="20"/>
          <w:lang w:val="mn-MN"/>
        </w:rPr>
        <w:t>Анаг</w:t>
      </w:r>
      <w:r w:rsidR="002D6292" w:rsidRPr="00291E5D">
        <w:rPr>
          <w:rFonts w:ascii="Arial" w:eastAsia="Times New Roman" w:hAnsi="Arial" w:cs="Arial"/>
          <w:i/>
          <w:color w:val="000000"/>
          <w:sz w:val="20"/>
          <w:szCs w:val="20"/>
          <w:lang w:val="mn-MN"/>
        </w:rPr>
        <w:t>аахын Шинжлэх Ухааны Үндэсний Их Сургууль</w:t>
      </w:r>
      <w:r w:rsidRPr="00291E5D">
        <w:rPr>
          <w:rFonts w:ascii="Arial" w:eastAsia="Times New Roman" w:hAnsi="Arial" w:cs="Arial"/>
          <w:i/>
          <w:color w:val="000000"/>
          <w:sz w:val="20"/>
          <w:szCs w:val="20"/>
          <w:vertAlign w:val="superscript"/>
          <w:lang w:val="mn-MN"/>
        </w:rPr>
        <w:t>1</w:t>
      </w:r>
      <w:r w:rsidR="007D10EF" w:rsidRPr="00291E5D">
        <w:rPr>
          <w:rFonts w:ascii="Arial" w:eastAsia="Times New Roman" w:hAnsi="Arial" w:cs="Arial"/>
          <w:i/>
          <w:color w:val="000000"/>
          <w:sz w:val="20"/>
          <w:szCs w:val="20"/>
        </w:rPr>
        <w:t xml:space="preserve">, </w:t>
      </w:r>
      <w:r w:rsidR="002D6292" w:rsidRPr="00291E5D">
        <w:rPr>
          <w:rFonts w:ascii="Arial" w:eastAsia="Times New Roman" w:hAnsi="Arial" w:cs="Arial"/>
          <w:i/>
          <w:color w:val="000000"/>
          <w:sz w:val="20"/>
          <w:szCs w:val="20"/>
          <w:lang w:val="mn-MN"/>
        </w:rPr>
        <w:t>Эх Хүүхдийн Эрүүл Мэндийн Үндэсний Төв</w:t>
      </w:r>
    </w:p>
    <w:p w14:paraId="49A50478" w14:textId="364EDB45" w:rsidR="00822285" w:rsidRDefault="00822285" w:rsidP="00ED2338">
      <w:pPr>
        <w:spacing w:after="0" w:line="240" w:lineRule="auto"/>
        <w:ind w:left="4111"/>
        <w:jc w:val="right"/>
        <w:rPr>
          <w:rFonts w:ascii="Arial" w:eastAsia="Times New Roman" w:hAnsi="Arial" w:cs="Arial"/>
          <w:i/>
          <w:color w:val="000000"/>
          <w:sz w:val="20"/>
          <w:szCs w:val="20"/>
        </w:rPr>
      </w:pPr>
      <w:r w:rsidRPr="00291E5D">
        <w:rPr>
          <w:rFonts w:ascii="Arial" w:eastAsia="Times New Roman" w:hAnsi="Arial" w:cs="Arial"/>
          <w:i/>
          <w:color w:val="000000"/>
          <w:sz w:val="20"/>
          <w:szCs w:val="20"/>
          <w:lang w:val="mn-MN"/>
        </w:rPr>
        <w:t>И</w:t>
      </w:r>
      <w:r w:rsidR="00054A9D" w:rsidRPr="00291E5D">
        <w:rPr>
          <w:rFonts w:ascii="Arial" w:eastAsia="Times New Roman" w:hAnsi="Arial" w:cs="Arial"/>
          <w:i/>
          <w:color w:val="000000"/>
          <w:sz w:val="20"/>
          <w:szCs w:val="20"/>
        </w:rPr>
        <w:t>-</w:t>
      </w:r>
      <w:r w:rsidRPr="00291E5D">
        <w:rPr>
          <w:rFonts w:ascii="Arial" w:eastAsia="Times New Roman" w:hAnsi="Arial" w:cs="Arial"/>
          <w:i/>
          <w:color w:val="000000"/>
          <w:sz w:val="20"/>
          <w:szCs w:val="20"/>
          <w:lang w:val="mn-MN"/>
        </w:rPr>
        <w:t>мэйл</w:t>
      </w:r>
      <w:r w:rsidRPr="00291E5D">
        <w:rPr>
          <w:rFonts w:ascii="Arial" w:eastAsia="Times New Roman" w:hAnsi="Arial" w:cs="Arial"/>
          <w:i/>
          <w:color w:val="000000"/>
          <w:sz w:val="20"/>
          <w:szCs w:val="20"/>
        </w:rPr>
        <w:t xml:space="preserve">: </w:t>
      </w:r>
      <w:hyperlink r:id="rId5" w:history="1">
        <w:r w:rsidR="00ED2338" w:rsidRPr="00797783">
          <w:rPr>
            <w:rStyle w:val="Hyperlink"/>
            <w:rFonts w:ascii="Arial" w:eastAsia="Times New Roman" w:hAnsi="Arial" w:cs="Arial"/>
            <w:i/>
            <w:sz w:val="20"/>
            <w:szCs w:val="20"/>
          </w:rPr>
          <w:t>muratshamsiya@gmail.com</w:t>
        </w:r>
      </w:hyperlink>
    </w:p>
    <w:p w14:paraId="5F602506" w14:textId="77777777" w:rsidR="00ED2338" w:rsidRPr="00291E5D" w:rsidRDefault="00ED2338" w:rsidP="00ED2338">
      <w:pPr>
        <w:spacing w:after="0" w:line="240" w:lineRule="auto"/>
        <w:ind w:left="4111"/>
        <w:jc w:val="right"/>
        <w:rPr>
          <w:rFonts w:ascii="Arial" w:eastAsia="Times New Roman" w:hAnsi="Arial" w:cs="Arial"/>
          <w:i/>
          <w:color w:val="000000"/>
          <w:sz w:val="20"/>
          <w:szCs w:val="20"/>
          <w:vertAlign w:val="superscript"/>
          <w:lang w:val="mn-MN"/>
        </w:rPr>
      </w:pPr>
    </w:p>
    <w:p w14:paraId="1FEAB851" w14:textId="4B3F8E10" w:rsidR="00ED2338" w:rsidRPr="00ED2338" w:rsidRDefault="006A3823" w:rsidP="00ED2338">
      <w:pPr>
        <w:pStyle w:val="ListParagraph"/>
        <w:autoSpaceDE w:val="0"/>
        <w:autoSpaceDN w:val="0"/>
        <w:adjustRightInd w:val="0"/>
        <w:spacing w:line="240" w:lineRule="auto"/>
        <w:ind w:left="0"/>
        <w:jc w:val="center"/>
        <w:rPr>
          <w:rFonts w:ascii="Arial" w:hAnsi="Arial" w:cs="Arial"/>
          <w:sz w:val="28"/>
          <w:szCs w:val="28"/>
        </w:rPr>
      </w:pPr>
      <w:r w:rsidRPr="00ED2338">
        <w:rPr>
          <w:rFonts w:ascii="Arial" w:hAnsi="Arial" w:cs="Arial"/>
          <w:sz w:val="28"/>
          <w:szCs w:val="28"/>
        </w:rPr>
        <w:t>Correlation between delay time of surgery of congenital cataract and postoperative visual acuity</w:t>
      </w:r>
    </w:p>
    <w:p w14:paraId="0AADAD68" w14:textId="77777777" w:rsidR="00ED2338" w:rsidRPr="00ED2338" w:rsidRDefault="00ED2338" w:rsidP="00ED2338">
      <w:pPr>
        <w:pStyle w:val="ListParagraph"/>
        <w:autoSpaceDE w:val="0"/>
        <w:autoSpaceDN w:val="0"/>
        <w:adjustRightInd w:val="0"/>
        <w:spacing w:line="240" w:lineRule="auto"/>
        <w:jc w:val="right"/>
        <w:rPr>
          <w:rFonts w:ascii="Arial" w:hAnsi="Arial" w:cs="Arial"/>
          <w:i/>
          <w:iCs/>
          <w:sz w:val="20"/>
          <w:szCs w:val="20"/>
        </w:rPr>
      </w:pPr>
      <w:r w:rsidRPr="00ED2338">
        <w:rPr>
          <w:rFonts w:ascii="Arial" w:hAnsi="Arial" w:cs="Arial"/>
          <w:i/>
          <w:iCs/>
          <w:sz w:val="20"/>
          <w:szCs w:val="20"/>
        </w:rPr>
        <w:t>M.Shamsiya</w:t>
      </w:r>
      <w:r w:rsidRPr="00ED2338">
        <w:rPr>
          <w:rFonts w:ascii="Arial" w:hAnsi="Arial" w:cs="Arial"/>
          <w:i/>
          <w:iCs/>
          <w:sz w:val="20"/>
          <w:szCs w:val="20"/>
          <w:vertAlign w:val="superscript"/>
        </w:rPr>
        <w:t>1,2</w:t>
      </w:r>
      <w:r w:rsidRPr="00ED2338">
        <w:rPr>
          <w:rFonts w:ascii="Arial" w:hAnsi="Arial" w:cs="Arial"/>
          <w:i/>
          <w:iCs/>
          <w:sz w:val="20"/>
          <w:szCs w:val="20"/>
        </w:rPr>
        <w:t>, E. Nasantogtokh</w:t>
      </w:r>
      <w:r w:rsidRPr="00ED2338">
        <w:rPr>
          <w:rFonts w:ascii="Arial" w:hAnsi="Arial" w:cs="Arial"/>
          <w:i/>
          <w:iCs/>
          <w:sz w:val="20"/>
          <w:szCs w:val="20"/>
          <w:vertAlign w:val="superscript"/>
        </w:rPr>
        <w:t>2</w:t>
      </w:r>
      <w:r w:rsidRPr="00ED2338">
        <w:rPr>
          <w:rFonts w:ascii="Arial" w:hAnsi="Arial" w:cs="Arial"/>
          <w:i/>
          <w:iCs/>
          <w:sz w:val="20"/>
          <w:szCs w:val="20"/>
        </w:rPr>
        <w:t>, D. Uranchimeg</w:t>
      </w:r>
      <w:r w:rsidRPr="00ED2338">
        <w:rPr>
          <w:rFonts w:ascii="Arial" w:hAnsi="Arial" w:cs="Arial"/>
          <w:i/>
          <w:iCs/>
          <w:sz w:val="20"/>
          <w:szCs w:val="20"/>
          <w:vertAlign w:val="superscript"/>
        </w:rPr>
        <w:t>1</w:t>
      </w:r>
      <w:r w:rsidRPr="00ED2338">
        <w:rPr>
          <w:rFonts w:ascii="Arial" w:hAnsi="Arial" w:cs="Arial"/>
          <w:i/>
          <w:iCs/>
          <w:sz w:val="20"/>
          <w:szCs w:val="20"/>
        </w:rPr>
        <w:t>, G.Davaa</w:t>
      </w:r>
      <w:r w:rsidRPr="00ED2338">
        <w:rPr>
          <w:rFonts w:ascii="Arial" w:hAnsi="Arial" w:cs="Arial"/>
          <w:i/>
          <w:iCs/>
          <w:sz w:val="20"/>
          <w:szCs w:val="20"/>
          <w:vertAlign w:val="superscript"/>
        </w:rPr>
        <w:t>1</w:t>
      </w:r>
      <w:r w:rsidRPr="00ED2338">
        <w:rPr>
          <w:rFonts w:ascii="Arial" w:hAnsi="Arial" w:cs="Arial"/>
          <w:i/>
          <w:iCs/>
          <w:sz w:val="20"/>
          <w:szCs w:val="20"/>
        </w:rPr>
        <w:t xml:space="preserve"> G.Erdenetuya</w:t>
      </w:r>
      <w:r w:rsidRPr="00ED2338">
        <w:rPr>
          <w:rFonts w:ascii="Arial" w:hAnsi="Arial" w:cs="Arial"/>
          <w:i/>
          <w:iCs/>
          <w:sz w:val="20"/>
          <w:szCs w:val="20"/>
          <w:vertAlign w:val="superscript"/>
        </w:rPr>
        <w:t>1</w:t>
      </w:r>
    </w:p>
    <w:p w14:paraId="43E2282D" w14:textId="77777777" w:rsidR="00ED2338" w:rsidRPr="00ED2338" w:rsidRDefault="00ED2338" w:rsidP="00ED2338">
      <w:pPr>
        <w:pStyle w:val="ListParagraph"/>
        <w:autoSpaceDE w:val="0"/>
        <w:autoSpaceDN w:val="0"/>
        <w:adjustRightInd w:val="0"/>
        <w:spacing w:line="240" w:lineRule="auto"/>
        <w:jc w:val="right"/>
        <w:rPr>
          <w:rFonts w:ascii="Arial" w:hAnsi="Arial" w:cs="Arial"/>
          <w:i/>
          <w:iCs/>
          <w:sz w:val="20"/>
          <w:szCs w:val="20"/>
        </w:rPr>
      </w:pPr>
      <w:r w:rsidRPr="00ED2338">
        <w:rPr>
          <w:rFonts w:ascii="Arial" w:hAnsi="Arial" w:cs="Arial"/>
          <w:i/>
          <w:iCs/>
          <w:sz w:val="20"/>
          <w:szCs w:val="20"/>
          <w:vertAlign w:val="superscript"/>
        </w:rPr>
        <w:t>1</w:t>
      </w:r>
      <w:r w:rsidRPr="00ED2338">
        <w:rPr>
          <w:rFonts w:ascii="Arial" w:hAnsi="Arial" w:cs="Arial"/>
          <w:i/>
          <w:iCs/>
          <w:sz w:val="20"/>
          <w:szCs w:val="20"/>
        </w:rPr>
        <w:t>Mongolian National University of Medical Sciences</w:t>
      </w:r>
    </w:p>
    <w:p w14:paraId="562C256E" w14:textId="77777777" w:rsidR="00ED2338" w:rsidRPr="00ED2338" w:rsidRDefault="00ED2338" w:rsidP="00ED2338">
      <w:pPr>
        <w:pStyle w:val="ListParagraph"/>
        <w:autoSpaceDE w:val="0"/>
        <w:autoSpaceDN w:val="0"/>
        <w:adjustRightInd w:val="0"/>
        <w:spacing w:after="0" w:line="240" w:lineRule="auto"/>
        <w:ind w:left="0"/>
        <w:jc w:val="right"/>
        <w:rPr>
          <w:rFonts w:ascii="Arial" w:hAnsi="Arial" w:cs="Arial"/>
          <w:i/>
          <w:iCs/>
          <w:sz w:val="20"/>
          <w:szCs w:val="20"/>
        </w:rPr>
      </w:pPr>
      <w:r w:rsidRPr="00ED2338">
        <w:rPr>
          <w:rFonts w:ascii="Arial" w:hAnsi="Arial" w:cs="Arial"/>
          <w:i/>
          <w:iCs/>
          <w:sz w:val="20"/>
          <w:szCs w:val="20"/>
          <w:vertAlign w:val="superscript"/>
        </w:rPr>
        <w:t>2</w:t>
      </w:r>
      <w:r w:rsidRPr="00ED2338">
        <w:rPr>
          <w:rFonts w:ascii="Arial" w:hAnsi="Arial" w:cs="Arial"/>
          <w:i/>
          <w:iCs/>
          <w:sz w:val="20"/>
          <w:szCs w:val="20"/>
        </w:rPr>
        <w:t>National Center for Maternal and Child Health</w:t>
      </w:r>
    </w:p>
    <w:p w14:paraId="76A4DA0E" w14:textId="3F70C093" w:rsidR="00ED2338" w:rsidRPr="00ED2338" w:rsidRDefault="00ED2338" w:rsidP="00ED2338">
      <w:pPr>
        <w:spacing w:after="0" w:line="240" w:lineRule="auto"/>
        <w:ind w:left="4111"/>
        <w:jc w:val="right"/>
        <w:rPr>
          <w:rFonts w:ascii="Arial" w:eastAsia="Times New Roman" w:hAnsi="Arial" w:cs="Arial"/>
          <w:i/>
          <w:iCs/>
          <w:sz w:val="20"/>
          <w:szCs w:val="20"/>
          <w:lang w:val="mn-MN"/>
        </w:rPr>
      </w:pPr>
      <w:r w:rsidRPr="00ED2338">
        <w:rPr>
          <w:rFonts w:ascii="Arial" w:eastAsia="Times New Roman" w:hAnsi="Arial" w:cs="Arial"/>
          <w:i/>
          <w:iCs/>
          <w:color w:val="000000"/>
          <w:sz w:val="20"/>
          <w:szCs w:val="20"/>
        </w:rPr>
        <w:t xml:space="preserve">E-mail: </w:t>
      </w:r>
      <w:hyperlink r:id="rId6" w:history="1">
        <w:r w:rsidRPr="00797783">
          <w:rPr>
            <w:rStyle w:val="Hyperlink"/>
            <w:rFonts w:ascii="Arial" w:eastAsia="Times New Roman" w:hAnsi="Arial" w:cs="Arial"/>
            <w:i/>
            <w:iCs/>
            <w:sz w:val="20"/>
            <w:szCs w:val="20"/>
          </w:rPr>
          <w:t>muratshamsiya@gmail.com</w:t>
        </w:r>
      </w:hyperlink>
      <w:r>
        <w:rPr>
          <w:rFonts w:ascii="Arial" w:eastAsia="Times New Roman" w:hAnsi="Arial" w:cs="Arial"/>
          <w:i/>
          <w:iCs/>
          <w:color w:val="000000"/>
          <w:sz w:val="20"/>
          <w:szCs w:val="20"/>
        </w:rPr>
        <w:t xml:space="preserve"> </w:t>
      </w:r>
    </w:p>
    <w:p w14:paraId="2D4E36E9" w14:textId="77777777" w:rsidR="00ED2338" w:rsidRPr="002B50DA" w:rsidRDefault="00ED2338" w:rsidP="00ED2338">
      <w:pPr>
        <w:pStyle w:val="ListParagraph"/>
        <w:autoSpaceDE w:val="0"/>
        <w:autoSpaceDN w:val="0"/>
        <w:adjustRightInd w:val="0"/>
        <w:spacing w:line="240" w:lineRule="auto"/>
        <w:ind w:left="0"/>
        <w:jc w:val="right"/>
        <w:rPr>
          <w:rFonts w:ascii="Arial" w:hAnsi="Arial" w:cs="Arial"/>
          <w:i/>
          <w:iCs/>
          <w:sz w:val="20"/>
          <w:szCs w:val="20"/>
        </w:rPr>
      </w:pPr>
    </w:p>
    <w:p w14:paraId="05DF5C8A" w14:textId="77777777" w:rsidR="00ED2338" w:rsidRDefault="00ED2338" w:rsidP="00ED2338">
      <w:pPr>
        <w:pStyle w:val="Default"/>
        <w:jc w:val="both"/>
        <w:rPr>
          <w:rFonts w:ascii="Arial" w:hAnsi="Arial" w:cs="Arial"/>
          <w:b/>
        </w:rPr>
      </w:pPr>
      <w:bookmarkStart w:id="0" w:name="_GoBack"/>
      <w:r w:rsidRPr="00466BE5">
        <w:rPr>
          <w:rFonts w:ascii="Arial" w:hAnsi="Arial" w:cs="Arial"/>
          <w:b/>
        </w:rPr>
        <w:t>Introduction</w:t>
      </w:r>
    </w:p>
    <w:p w14:paraId="2C9D4ACF" w14:textId="419B8237" w:rsidR="00ED2338" w:rsidRPr="00466BE5" w:rsidRDefault="00ED2338" w:rsidP="00ED2338">
      <w:pPr>
        <w:pStyle w:val="Default"/>
        <w:jc w:val="both"/>
        <w:rPr>
          <w:rFonts w:ascii="Arial" w:hAnsi="Arial" w:cs="Arial"/>
          <w:b/>
        </w:rPr>
      </w:pPr>
      <w:r>
        <w:rPr>
          <w:rFonts w:ascii="Arial" w:hAnsi="Arial" w:cs="Arial"/>
          <w:bCs/>
          <w:lang w:val="mn-MN"/>
        </w:rPr>
        <w:t xml:space="preserve">Worldwide, child cataract is 1 to 15 cases per 100,000 children are diagnosed. In the International Classification of Diseases, pediatric cataracts are classified as congenital (Q12) and developmental (H26.0). Congenital </w:t>
      </w:r>
      <w:r>
        <w:rPr>
          <w:rFonts w:ascii="Arial" w:hAnsi="Arial" w:cs="Arial"/>
          <w:bCs/>
        </w:rPr>
        <w:t xml:space="preserve">cataract </w:t>
      </w:r>
      <w:r>
        <w:rPr>
          <w:rFonts w:ascii="Arial" w:hAnsi="Arial" w:cs="Arial"/>
          <w:bCs/>
          <w:lang w:val="mn-MN"/>
        </w:rPr>
        <w:t xml:space="preserve">occurs in 1–3 out of 10,000 children, and if diagnosed, surgery is required without delay. International researchers report that congenital cataracts require semi-emergency surgery. It is also recommended that children with congenital cataracts be diagnosed after 3 months of age without surgery.  Congenital cataracts are recommended for surgery in one eye within 6 weeks and in both eyes within 10 weeks. Early detection of congenital cataracts and </w:t>
      </w:r>
      <w:r>
        <w:rPr>
          <w:rFonts w:ascii="Arial" w:hAnsi="Arial" w:cs="Arial"/>
          <w:bCs/>
        </w:rPr>
        <w:t xml:space="preserve">emergency </w:t>
      </w:r>
      <w:r>
        <w:rPr>
          <w:rFonts w:ascii="Arial" w:hAnsi="Arial" w:cs="Arial"/>
          <w:bCs/>
          <w:lang w:val="mn-MN"/>
        </w:rPr>
        <w:t xml:space="preserve">surgical treatment are important to improve postoperative </w:t>
      </w:r>
      <w:r>
        <w:rPr>
          <w:rFonts w:ascii="Arial" w:hAnsi="Arial" w:cs="Arial"/>
          <w:bCs/>
        </w:rPr>
        <w:t>visual outcome</w:t>
      </w:r>
      <w:r>
        <w:rPr>
          <w:rFonts w:ascii="Arial" w:hAnsi="Arial" w:cs="Arial"/>
          <w:bCs/>
          <w:lang w:val="mn-MN"/>
        </w:rPr>
        <w:t xml:space="preserve"> and quality of life.</w:t>
      </w:r>
      <w:r>
        <w:rPr>
          <w:rFonts w:ascii="Arial" w:hAnsi="Arial" w:cs="Arial"/>
          <w:bCs/>
        </w:rPr>
        <w:t xml:space="preserve"> </w:t>
      </w:r>
    </w:p>
    <w:p w14:paraId="384349A3" w14:textId="77777777" w:rsidR="00ED2338" w:rsidRDefault="00ED2338" w:rsidP="00ED2338">
      <w:pPr>
        <w:autoSpaceDE w:val="0"/>
        <w:autoSpaceDN w:val="0"/>
        <w:adjustRightInd w:val="0"/>
        <w:spacing w:after="0" w:line="240" w:lineRule="auto"/>
        <w:jc w:val="both"/>
        <w:rPr>
          <w:rFonts w:ascii="Arial" w:hAnsi="Arial" w:cs="Arial"/>
          <w:b/>
          <w:bCs/>
          <w:sz w:val="24"/>
          <w:szCs w:val="24"/>
          <w:lang w:val="mn-MN"/>
        </w:rPr>
      </w:pPr>
      <w:r w:rsidRPr="00466BE5">
        <w:rPr>
          <w:rFonts w:ascii="Arial" w:hAnsi="Arial" w:cs="Arial"/>
          <w:b/>
          <w:bCs/>
          <w:sz w:val="24"/>
          <w:szCs w:val="24"/>
          <w:lang w:val="mn-MN"/>
        </w:rPr>
        <w:t>Purpose</w:t>
      </w:r>
    </w:p>
    <w:p w14:paraId="294BA996" w14:textId="086CC696" w:rsidR="00ED2338" w:rsidRDefault="00ED2338" w:rsidP="00ED2338">
      <w:pPr>
        <w:autoSpaceDE w:val="0"/>
        <w:autoSpaceDN w:val="0"/>
        <w:adjustRightInd w:val="0"/>
        <w:spacing w:after="0" w:line="240" w:lineRule="auto"/>
        <w:jc w:val="both"/>
        <w:rPr>
          <w:rFonts w:ascii="Arial" w:hAnsi="Arial" w:cs="Arial"/>
          <w:sz w:val="24"/>
          <w:szCs w:val="24"/>
          <w:lang w:val="mn-MN"/>
        </w:rPr>
      </w:pPr>
      <w:r w:rsidRPr="00466BE5">
        <w:rPr>
          <w:rFonts w:ascii="Arial" w:hAnsi="Arial" w:cs="Arial"/>
          <w:sz w:val="24"/>
          <w:szCs w:val="24"/>
          <w:lang w:val="mn-MN"/>
        </w:rPr>
        <w:t>To investigate the correlation between the surgical delay time and postoperative visual acuity in children diagnosed with congenital cataracts.</w:t>
      </w:r>
    </w:p>
    <w:p w14:paraId="3EA6B838" w14:textId="77777777" w:rsidR="00ED2338" w:rsidRDefault="00ED2338" w:rsidP="00ED2338">
      <w:pPr>
        <w:autoSpaceDE w:val="0"/>
        <w:autoSpaceDN w:val="0"/>
        <w:adjustRightInd w:val="0"/>
        <w:spacing w:after="0" w:line="240" w:lineRule="auto"/>
        <w:jc w:val="both"/>
        <w:rPr>
          <w:rFonts w:ascii="Arial" w:hAnsi="Arial" w:cs="Arial"/>
          <w:b/>
          <w:bCs/>
          <w:sz w:val="24"/>
          <w:szCs w:val="24"/>
          <w:lang w:val="mn-MN"/>
        </w:rPr>
      </w:pPr>
      <w:r>
        <w:rPr>
          <w:rFonts w:ascii="Arial" w:hAnsi="Arial" w:cs="Arial"/>
          <w:b/>
          <w:bCs/>
          <w:sz w:val="24"/>
          <w:szCs w:val="24"/>
        </w:rPr>
        <w:t>Material and</w:t>
      </w:r>
      <w:r w:rsidRPr="00466BE5">
        <w:rPr>
          <w:rFonts w:ascii="Arial" w:hAnsi="Arial" w:cs="Arial"/>
          <w:b/>
          <w:bCs/>
          <w:sz w:val="24"/>
          <w:szCs w:val="24"/>
          <w:lang w:val="mn-MN"/>
        </w:rPr>
        <w:t xml:space="preserve"> methodology</w:t>
      </w:r>
    </w:p>
    <w:p w14:paraId="56B5B6C8" w14:textId="6F62DC34" w:rsidR="00ED2338" w:rsidRDefault="00ED2338" w:rsidP="00ED2338">
      <w:pPr>
        <w:autoSpaceDE w:val="0"/>
        <w:autoSpaceDN w:val="0"/>
        <w:adjustRightInd w:val="0"/>
        <w:spacing w:after="0" w:line="240" w:lineRule="auto"/>
        <w:jc w:val="both"/>
        <w:rPr>
          <w:rFonts w:ascii="Arial" w:hAnsi="Arial" w:cs="Arial"/>
          <w:sz w:val="24"/>
          <w:szCs w:val="24"/>
          <w:lang w:val="mn-MN"/>
        </w:rPr>
      </w:pPr>
      <w:r w:rsidRPr="00466BE5">
        <w:rPr>
          <w:rFonts w:ascii="Arial" w:hAnsi="Arial" w:cs="Arial"/>
          <w:sz w:val="24"/>
          <w:szCs w:val="24"/>
          <w:lang w:val="mn-MN"/>
        </w:rPr>
        <w:t>This study conduct based on the ophthalmic surgery department of the National Center for Maternal and Child Health, performed for a retrospective longitudinal study design. The study examined cases of congenital cataracts in both eyes and retrospectively follow patients who had congenital cataract surgery in 2018-2020 from the onset of symptoms to the postoperative period. The sample size was calculated using open.epi. We sampled participants for non-probabilistic purposes. The study included children 1 year of age and younger</w:t>
      </w:r>
      <w:r>
        <w:rPr>
          <w:rFonts w:ascii="Arial" w:hAnsi="Arial" w:cs="Arial"/>
          <w:sz w:val="24"/>
          <w:szCs w:val="24"/>
        </w:rPr>
        <w:t xml:space="preserve"> or </w:t>
      </w:r>
      <w:r w:rsidRPr="00466BE5">
        <w:rPr>
          <w:rFonts w:ascii="Arial" w:hAnsi="Arial" w:cs="Arial"/>
          <w:sz w:val="24"/>
          <w:szCs w:val="24"/>
          <w:lang w:val="mn-MN"/>
        </w:rPr>
        <w:t xml:space="preserve"> with</w:t>
      </w:r>
      <w:r>
        <w:rPr>
          <w:rFonts w:ascii="Arial" w:hAnsi="Arial" w:cs="Arial"/>
          <w:sz w:val="24"/>
          <w:szCs w:val="24"/>
        </w:rPr>
        <w:t xml:space="preserve"> nystagmus</w:t>
      </w:r>
      <w:r w:rsidRPr="00466BE5">
        <w:rPr>
          <w:rFonts w:ascii="Arial" w:hAnsi="Arial" w:cs="Arial"/>
          <w:sz w:val="24"/>
          <w:szCs w:val="24"/>
          <w:lang w:val="mn-MN"/>
        </w:rPr>
        <w:t xml:space="preserve">, </w:t>
      </w:r>
      <w:r>
        <w:rPr>
          <w:rFonts w:ascii="Arial" w:hAnsi="Arial" w:cs="Arial"/>
          <w:sz w:val="24"/>
          <w:szCs w:val="24"/>
        </w:rPr>
        <w:t xml:space="preserve">cataract with nuclear and polar morphology </w:t>
      </w:r>
      <w:r w:rsidRPr="00466BE5">
        <w:rPr>
          <w:rFonts w:ascii="Arial" w:hAnsi="Arial" w:cs="Arial"/>
          <w:sz w:val="24"/>
          <w:szCs w:val="24"/>
          <w:lang w:val="mn-MN"/>
        </w:rPr>
        <w:t xml:space="preserve">, and </w:t>
      </w:r>
      <w:r>
        <w:rPr>
          <w:rFonts w:ascii="Arial" w:hAnsi="Arial" w:cs="Arial"/>
          <w:sz w:val="24"/>
          <w:szCs w:val="24"/>
        </w:rPr>
        <w:t xml:space="preserve">bilateral </w:t>
      </w:r>
      <w:r w:rsidRPr="00466BE5">
        <w:rPr>
          <w:rFonts w:ascii="Arial" w:hAnsi="Arial" w:cs="Arial"/>
          <w:sz w:val="24"/>
          <w:szCs w:val="24"/>
          <w:lang w:val="mn-MN"/>
        </w:rPr>
        <w:t>cataracts Statistical analysis was performed using STATA 16.0 software. The risk of delay time to visual acuity was determined by an ordinal regression model.</w:t>
      </w:r>
    </w:p>
    <w:p w14:paraId="654715E4" w14:textId="77777777" w:rsidR="00ED2338" w:rsidRDefault="00ED2338" w:rsidP="00ED2338">
      <w:pPr>
        <w:autoSpaceDE w:val="0"/>
        <w:autoSpaceDN w:val="0"/>
        <w:adjustRightInd w:val="0"/>
        <w:spacing w:after="0" w:line="240" w:lineRule="auto"/>
        <w:jc w:val="both"/>
        <w:rPr>
          <w:rFonts w:ascii="Arial" w:hAnsi="Arial" w:cs="Arial"/>
          <w:b/>
          <w:bCs/>
          <w:sz w:val="24"/>
          <w:szCs w:val="24"/>
          <w:lang w:val="mn-MN"/>
        </w:rPr>
      </w:pPr>
      <w:r w:rsidRPr="002B50DA">
        <w:rPr>
          <w:rFonts w:ascii="Arial" w:hAnsi="Arial" w:cs="Arial"/>
          <w:b/>
          <w:bCs/>
          <w:sz w:val="24"/>
          <w:szCs w:val="24"/>
          <w:lang w:val="mn-MN"/>
        </w:rPr>
        <w:t>Results</w:t>
      </w:r>
    </w:p>
    <w:p w14:paraId="143207F3" w14:textId="455A31CB" w:rsidR="00ED2338" w:rsidRDefault="00ED2338" w:rsidP="00ED2338">
      <w:pPr>
        <w:autoSpaceDE w:val="0"/>
        <w:autoSpaceDN w:val="0"/>
        <w:adjustRightInd w:val="0"/>
        <w:spacing w:after="0" w:line="240" w:lineRule="auto"/>
        <w:jc w:val="both"/>
        <w:rPr>
          <w:rFonts w:ascii="Arial" w:hAnsi="Arial" w:cs="Arial"/>
          <w:sz w:val="24"/>
          <w:szCs w:val="24"/>
          <w:lang w:val="mn-MN"/>
        </w:rPr>
      </w:pPr>
      <w:r w:rsidRPr="002B50DA">
        <w:rPr>
          <w:rFonts w:ascii="Arial" w:hAnsi="Arial" w:cs="Arial"/>
          <w:sz w:val="24"/>
          <w:szCs w:val="24"/>
          <w:lang w:val="mn-MN"/>
        </w:rPr>
        <w:t xml:space="preserve">The study included 46 cases of congenital cataracts, under the age of 16. 61 percent of the children were male and 58.7 percent were from rural areas. The postoperative visual acuity of the children in the study was &lt;0.09 in 52.2% (n = 24) and 0.1 &lt;in 47.8% (n = 22). The average age </w:t>
      </w:r>
      <w:r>
        <w:rPr>
          <w:rFonts w:ascii="Arial" w:hAnsi="Arial" w:cs="Arial"/>
          <w:sz w:val="24"/>
          <w:szCs w:val="24"/>
        </w:rPr>
        <w:t>of</w:t>
      </w:r>
      <w:r w:rsidRPr="002B50DA">
        <w:rPr>
          <w:rFonts w:ascii="Arial" w:hAnsi="Arial" w:cs="Arial"/>
          <w:sz w:val="24"/>
          <w:szCs w:val="24"/>
          <w:lang w:val="mn-MN"/>
        </w:rPr>
        <w:t xml:space="preserve">cataracts occur is 2.05 (0.03 - 11.0) months, and the average age at surgery is 5.0 (1.0 - 78.0) months. In the groups with postoperative visual acuity &lt;0.09 and 0.1 &lt;, the delay from observation to diagnosis, the delay from diagnosis to surgery, and the total delay time were statistically significant (p = 0.045, p = 0.031, p = </w:t>
      </w:r>
      <w:r w:rsidRPr="002B50DA">
        <w:rPr>
          <w:rFonts w:ascii="Arial" w:hAnsi="Arial" w:cs="Arial"/>
          <w:sz w:val="24"/>
          <w:szCs w:val="24"/>
          <w:lang w:val="mn-MN"/>
        </w:rPr>
        <w:lastRenderedPageBreak/>
        <w:t xml:space="preserve">0.028). According to the results of the ordinal regression test, a 1-month delay in the age of surgery increases the risk of visual impairment by 1.8%. However, if the delay in surgery is increased by 1 month after the onset of symptoms, the risk of postoperative vision loss will increase by 3.7%. </w:t>
      </w:r>
    </w:p>
    <w:p w14:paraId="577C72C8" w14:textId="77777777" w:rsidR="009C4AB9" w:rsidRDefault="00ED2338" w:rsidP="00ED2338">
      <w:pPr>
        <w:autoSpaceDE w:val="0"/>
        <w:autoSpaceDN w:val="0"/>
        <w:adjustRightInd w:val="0"/>
        <w:spacing w:after="0" w:line="240" w:lineRule="auto"/>
        <w:jc w:val="both"/>
        <w:rPr>
          <w:rFonts w:ascii="Arial" w:hAnsi="Arial" w:cs="Arial"/>
          <w:b/>
          <w:bCs/>
          <w:sz w:val="24"/>
          <w:szCs w:val="24"/>
        </w:rPr>
      </w:pPr>
      <w:r w:rsidRPr="002B50DA">
        <w:rPr>
          <w:rFonts w:ascii="Arial" w:hAnsi="Arial" w:cs="Arial"/>
          <w:b/>
          <w:bCs/>
          <w:sz w:val="24"/>
          <w:szCs w:val="24"/>
          <w:lang w:val="mn-MN"/>
        </w:rPr>
        <w:t>Conclusion</w:t>
      </w:r>
    </w:p>
    <w:p w14:paraId="5E67C154" w14:textId="5C4C4230" w:rsidR="00ED2338" w:rsidRPr="002B50DA" w:rsidRDefault="00ED2338" w:rsidP="00ED2338">
      <w:pPr>
        <w:autoSpaceDE w:val="0"/>
        <w:autoSpaceDN w:val="0"/>
        <w:adjustRightInd w:val="0"/>
        <w:spacing w:after="0" w:line="240" w:lineRule="auto"/>
        <w:jc w:val="both"/>
        <w:rPr>
          <w:rFonts w:ascii="Arial" w:hAnsi="Arial" w:cs="Arial"/>
          <w:sz w:val="24"/>
          <w:szCs w:val="24"/>
          <w:lang w:val="mn-MN"/>
        </w:rPr>
      </w:pPr>
      <w:r w:rsidRPr="002B50DA">
        <w:rPr>
          <w:rFonts w:ascii="Arial" w:hAnsi="Arial" w:cs="Arial"/>
          <w:sz w:val="24"/>
          <w:szCs w:val="24"/>
          <w:lang w:val="mn-MN"/>
        </w:rPr>
        <w:t>Congenital cataract is diagnosed at an average of 2.18 months, and surgery is performed on average 2 months after diagnosis. Postoperative visual acuity was 0.1 &lt;in 48% and &lt;0.09 in 52%.</w:t>
      </w:r>
      <w:r>
        <w:rPr>
          <w:rFonts w:ascii="Arial" w:hAnsi="Arial" w:cs="Arial"/>
          <w:sz w:val="24"/>
          <w:szCs w:val="24"/>
        </w:rPr>
        <w:t xml:space="preserve"> </w:t>
      </w:r>
      <w:r w:rsidRPr="002B50DA">
        <w:rPr>
          <w:rFonts w:ascii="Arial" w:hAnsi="Arial" w:cs="Arial"/>
          <w:sz w:val="24"/>
          <w:szCs w:val="24"/>
          <w:lang w:val="mn-MN"/>
        </w:rPr>
        <w:t>The risk of low postoperative visual acuity or &lt;0.09 is increased by the age and delay time of the surgery.</w:t>
      </w:r>
    </w:p>
    <w:bookmarkEnd w:id="0"/>
    <w:p w14:paraId="71023F47" w14:textId="77777777" w:rsidR="009C4AB9" w:rsidRDefault="009C4AB9" w:rsidP="00ED2338">
      <w:pPr>
        <w:spacing w:line="240" w:lineRule="auto"/>
        <w:jc w:val="both"/>
        <w:rPr>
          <w:rFonts w:ascii="Arial" w:hAnsi="Arial" w:cs="Arial"/>
          <w:b/>
          <w:bCs/>
          <w:sz w:val="24"/>
          <w:szCs w:val="24"/>
          <w:lang w:val="mn-MN"/>
        </w:rPr>
      </w:pPr>
    </w:p>
    <w:p w14:paraId="40148FFD" w14:textId="74941BFA" w:rsidR="005711A3" w:rsidRPr="00ED2338" w:rsidRDefault="005711A3" w:rsidP="00ED2338">
      <w:pPr>
        <w:spacing w:line="240" w:lineRule="auto"/>
        <w:jc w:val="both"/>
        <w:rPr>
          <w:rFonts w:ascii="Arial" w:hAnsi="Arial" w:cs="Arial"/>
          <w:b/>
          <w:bCs/>
          <w:iCs/>
          <w:sz w:val="24"/>
          <w:szCs w:val="24"/>
        </w:rPr>
      </w:pPr>
      <w:r w:rsidRPr="00ED2338">
        <w:rPr>
          <w:rFonts w:ascii="Arial" w:hAnsi="Arial" w:cs="Arial"/>
          <w:b/>
          <w:bCs/>
          <w:iCs/>
          <w:sz w:val="24"/>
          <w:szCs w:val="24"/>
        </w:rPr>
        <w:t>Keyword</w:t>
      </w:r>
    </w:p>
    <w:p w14:paraId="008F653A" w14:textId="3CC05057" w:rsidR="00ED2338" w:rsidRPr="00ED2338" w:rsidRDefault="00ED2338" w:rsidP="00ED2338">
      <w:pPr>
        <w:spacing w:line="240" w:lineRule="auto"/>
        <w:jc w:val="both"/>
        <w:rPr>
          <w:rFonts w:ascii="Arial" w:hAnsi="Arial" w:cs="Arial"/>
          <w:iCs/>
          <w:sz w:val="24"/>
          <w:szCs w:val="24"/>
        </w:rPr>
      </w:pPr>
      <w:r w:rsidRPr="00ED2338">
        <w:rPr>
          <w:rFonts w:ascii="Arial" w:hAnsi="Arial" w:cs="Arial"/>
          <w:iCs/>
          <w:sz w:val="24"/>
          <w:szCs w:val="24"/>
        </w:rPr>
        <w:t>Delay time, congenital cataract, diagnosis</w:t>
      </w:r>
      <w:r w:rsidRPr="00ED2338">
        <w:rPr>
          <w:rFonts w:ascii="Arial" w:hAnsi="Arial" w:cs="Arial"/>
          <w:iCs/>
          <w:sz w:val="24"/>
          <w:szCs w:val="24"/>
          <w:lang w:val="mn-MN"/>
        </w:rPr>
        <w:t xml:space="preserve">, </w:t>
      </w:r>
      <w:r w:rsidRPr="00ED2338">
        <w:rPr>
          <w:rFonts w:ascii="Arial" w:hAnsi="Arial" w:cs="Arial"/>
          <w:iCs/>
          <w:sz w:val="24"/>
          <w:szCs w:val="24"/>
        </w:rPr>
        <w:t>early screening</w:t>
      </w:r>
    </w:p>
    <w:p w14:paraId="1DEED8F2" w14:textId="63ED275C" w:rsidR="005711A3" w:rsidRDefault="005711A3" w:rsidP="00ED2338">
      <w:pPr>
        <w:spacing w:line="240" w:lineRule="auto"/>
        <w:jc w:val="both"/>
        <w:rPr>
          <w:rFonts w:ascii="Arial" w:hAnsi="Arial" w:cs="Arial"/>
          <w:b/>
          <w:bCs/>
          <w:iCs/>
          <w:sz w:val="24"/>
          <w:szCs w:val="24"/>
          <w:lang w:val="mn-MN"/>
        </w:rPr>
      </w:pPr>
      <w:r w:rsidRPr="005711A3">
        <w:rPr>
          <w:rFonts w:ascii="Arial" w:hAnsi="Arial" w:cs="Arial"/>
          <w:b/>
          <w:bCs/>
          <w:iCs/>
          <w:sz w:val="24"/>
          <w:szCs w:val="24"/>
          <w:lang w:val="mn-MN"/>
        </w:rPr>
        <w:t>Түлхүүр үг</w:t>
      </w:r>
    </w:p>
    <w:p w14:paraId="1C0BECC3" w14:textId="3B6E5102" w:rsidR="00ED2338" w:rsidRPr="00ED2338" w:rsidRDefault="00ED2338" w:rsidP="00ED2338">
      <w:pPr>
        <w:spacing w:line="240" w:lineRule="auto"/>
        <w:jc w:val="both"/>
        <w:rPr>
          <w:rFonts w:ascii="Arial" w:hAnsi="Arial" w:cs="Arial"/>
          <w:iCs/>
          <w:sz w:val="24"/>
          <w:szCs w:val="24"/>
          <w:lang w:val="mn-MN"/>
        </w:rPr>
      </w:pPr>
      <w:r w:rsidRPr="00ED2338">
        <w:rPr>
          <w:rFonts w:ascii="Arial" w:hAnsi="Arial" w:cs="Arial"/>
          <w:iCs/>
          <w:sz w:val="24"/>
          <w:szCs w:val="24"/>
          <w:lang w:val="mn-MN"/>
        </w:rPr>
        <w:t>Хүлээгдлийн цаг, төрөлхийн катаракт, оношилгоо, эрт илрүүлэг</w:t>
      </w:r>
    </w:p>
    <w:p w14:paraId="509918AB" w14:textId="7E974F90" w:rsidR="002D6292" w:rsidRPr="007D10EF" w:rsidRDefault="007D10EF" w:rsidP="00ED2338">
      <w:pPr>
        <w:pStyle w:val="Default"/>
        <w:jc w:val="both"/>
        <w:rPr>
          <w:rFonts w:ascii="Arial" w:hAnsi="Arial" w:cs="Arial"/>
          <w:b/>
          <w:lang w:val="mn-MN"/>
        </w:rPr>
      </w:pPr>
      <w:r>
        <w:rPr>
          <w:rFonts w:ascii="Arial" w:hAnsi="Arial" w:cs="Arial"/>
          <w:b/>
          <w:lang w:val="mn-MN"/>
        </w:rPr>
        <w:t>Удиртгал</w:t>
      </w:r>
    </w:p>
    <w:p w14:paraId="1C5448F7" w14:textId="3ABDA5D7" w:rsidR="00141347" w:rsidRDefault="00297026" w:rsidP="00ED2338">
      <w:pPr>
        <w:pStyle w:val="Default"/>
        <w:ind w:firstLine="720"/>
        <w:jc w:val="both"/>
        <w:rPr>
          <w:rFonts w:ascii="Arial" w:hAnsi="Arial" w:cs="Arial"/>
          <w:lang w:val="mn-MN"/>
        </w:rPr>
      </w:pPr>
      <w:r>
        <w:rPr>
          <w:rFonts w:ascii="Arial" w:hAnsi="Arial" w:cs="Arial"/>
          <w:lang w:val="mn-MN"/>
        </w:rPr>
        <w:t xml:space="preserve">Дэлхий дахинд болор цайх өвчин 10000 хүүхдэд 1 – 15 тохиолдол тодорхойлогдож байна. </w:t>
      </w:r>
      <w:r w:rsidRPr="00197A82">
        <w:rPr>
          <w:rFonts w:ascii="Arial" w:hAnsi="Arial" w:cs="Arial"/>
          <w:lang w:val="mn-MN"/>
        </w:rPr>
        <w:t>Олон улcын</w:t>
      </w:r>
      <w:r>
        <w:rPr>
          <w:rFonts w:ascii="Arial" w:hAnsi="Arial" w:cs="Arial"/>
        </w:rPr>
        <w:t xml:space="preserve"> </w:t>
      </w:r>
      <w:r>
        <w:rPr>
          <w:rFonts w:ascii="Arial" w:hAnsi="Arial" w:cs="Arial"/>
          <w:lang w:val="mn-MN"/>
        </w:rPr>
        <w:t>өвчний ангилалд</w:t>
      </w:r>
      <w:r w:rsidRPr="00197A82">
        <w:rPr>
          <w:rFonts w:ascii="Arial" w:hAnsi="Arial" w:cs="Arial"/>
          <w:lang w:val="mn-MN"/>
        </w:rPr>
        <w:t xml:space="preserve"> хүүхдийн болор цайх өвчнийг төрөлхийн</w:t>
      </w:r>
      <w:r>
        <w:rPr>
          <w:rFonts w:ascii="Arial" w:hAnsi="Arial" w:cs="Arial"/>
          <w:lang w:val="mn-MN"/>
        </w:rPr>
        <w:t xml:space="preserve"> (Q12) ба </w:t>
      </w:r>
      <w:r w:rsidRPr="00197A82">
        <w:rPr>
          <w:rFonts w:ascii="Arial" w:hAnsi="Arial" w:cs="Arial"/>
          <w:lang w:val="mn-MN"/>
        </w:rPr>
        <w:t xml:space="preserve">хөгжлийн (H26.0) </w:t>
      </w:r>
      <w:r>
        <w:rPr>
          <w:rFonts w:ascii="Arial" w:hAnsi="Arial" w:cs="Arial"/>
          <w:lang w:val="mn-MN"/>
        </w:rPr>
        <w:t>гэж ангилдаг</w:t>
      </w:r>
      <w:r w:rsidR="00CF5397">
        <w:rPr>
          <w:rFonts w:ascii="Arial" w:hAnsi="Arial" w:cs="Arial"/>
          <w:lang w:val="mn-MN"/>
        </w:rPr>
        <w:t xml:space="preserve">. </w:t>
      </w:r>
      <w:r>
        <w:rPr>
          <w:rFonts w:ascii="Arial" w:hAnsi="Arial" w:cs="Arial"/>
          <w:lang w:val="mn-MN"/>
        </w:rPr>
        <w:t>Төрөлхийн болор ца</w:t>
      </w:r>
      <w:r w:rsidR="00141347">
        <w:rPr>
          <w:rFonts w:ascii="Arial" w:hAnsi="Arial" w:cs="Arial"/>
          <w:lang w:val="mn-MN"/>
        </w:rPr>
        <w:t>йх өвчин нь 10000 хүүхдэд 1–</w:t>
      </w:r>
      <w:r>
        <w:rPr>
          <w:rFonts w:ascii="Arial" w:hAnsi="Arial" w:cs="Arial"/>
          <w:lang w:val="mn-MN"/>
        </w:rPr>
        <w:t xml:space="preserve">3 </w:t>
      </w:r>
      <w:r w:rsidR="00141347">
        <w:rPr>
          <w:rFonts w:ascii="Arial" w:hAnsi="Arial" w:cs="Arial"/>
          <w:lang w:val="mn-MN"/>
        </w:rPr>
        <w:t>тохиолддог</w:t>
      </w:r>
      <w:r>
        <w:rPr>
          <w:rFonts w:ascii="Arial" w:hAnsi="Arial" w:cs="Arial"/>
        </w:rPr>
        <w:t xml:space="preserve"> </w:t>
      </w:r>
      <w:r>
        <w:rPr>
          <w:rFonts w:ascii="Arial" w:hAnsi="Arial" w:cs="Arial"/>
          <w:lang w:val="mn-MN"/>
        </w:rPr>
        <w:t>бөгөөд оношлогдсон тохиолдолд хүлээгдэл үүсгэхгүйгээр мэс</w:t>
      </w:r>
      <w:r w:rsidR="00720E88">
        <w:rPr>
          <w:rFonts w:ascii="Arial" w:hAnsi="Arial" w:cs="Arial"/>
          <w:lang w:val="mn-MN"/>
        </w:rPr>
        <w:t xml:space="preserve"> засалд орох шаардлагатай байда</w:t>
      </w:r>
      <w:r w:rsidR="005711A3">
        <w:rPr>
          <w:rFonts w:ascii="Arial" w:hAnsi="Arial" w:cs="Arial"/>
          <w:lang w:val="mn-MN"/>
        </w:rPr>
        <w:t>г</w:t>
      </w:r>
      <w:r w:rsidR="00AD1B23">
        <w:rPr>
          <w:rFonts w:ascii="Arial" w:hAnsi="Arial" w:cs="Arial"/>
          <w:vertAlign w:val="superscript"/>
          <w:lang w:val="mn-MN"/>
        </w:rPr>
        <w:t>1</w:t>
      </w:r>
      <w:r>
        <w:rPr>
          <w:rFonts w:ascii="Arial" w:hAnsi="Arial" w:cs="Arial"/>
          <w:lang w:val="mn-MN"/>
        </w:rPr>
        <w:t>.</w:t>
      </w:r>
      <w:r>
        <w:rPr>
          <w:rFonts w:ascii="Arial" w:hAnsi="Arial" w:cs="Arial"/>
        </w:rPr>
        <w:t xml:space="preserve"> </w:t>
      </w:r>
      <w:r w:rsidRPr="00197A82">
        <w:rPr>
          <w:rFonts w:ascii="Arial" w:hAnsi="Arial" w:cs="Arial"/>
          <w:lang w:val="mn-MN"/>
        </w:rPr>
        <w:t>Төрөлхийн бол</w:t>
      </w:r>
      <w:r>
        <w:rPr>
          <w:rFonts w:ascii="Arial" w:hAnsi="Arial" w:cs="Arial"/>
          <w:lang w:val="mn-MN"/>
        </w:rPr>
        <w:t>о</w:t>
      </w:r>
      <w:r w:rsidRPr="00197A82">
        <w:rPr>
          <w:rFonts w:ascii="Arial" w:hAnsi="Arial" w:cs="Arial"/>
          <w:lang w:val="mn-MN"/>
        </w:rPr>
        <w:t>р ц</w:t>
      </w:r>
      <w:r w:rsidR="00CF5397">
        <w:rPr>
          <w:rFonts w:ascii="Arial" w:hAnsi="Arial" w:cs="Arial"/>
          <w:lang w:val="mn-MN"/>
        </w:rPr>
        <w:t>айх өвч</w:t>
      </w:r>
      <w:r>
        <w:rPr>
          <w:rFonts w:ascii="Arial" w:hAnsi="Arial" w:cs="Arial"/>
          <w:lang w:val="mn-MN"/>
        </w:rPr>
        <w:t>н</w:t>
      </w:r>
      <w:r w:rsidR="00141347">
        <w:rPr>
          <w:rFonts w:ascii="Arial" w:hAnsi="Arial" w:cs="Arial"/>
          <w:lang w:val="mn-MN"/>
        </w:rPr>
        <w:t>ийг судлаачид ялгаатай байдлаар тодорхойлдог</w:t>
      </w:r>
      <w:r w:rsidR="00AD1B23">
        <w:rPr>
          <w:rFonts w:ascii="Arial" w:hAnsi="Arial" w:cs="Arial"/>
          <w:vertAlign w:val="superscript"/>
          <w:lang w:val="mn-MN"/>
        </w:rPr>
        <w:t>2</w:t>
      </w:r>
      <w:r w:rsidR="00141347" w:rsidRPr="00141347">
        <w:rPr>
          <w:rFonts w:ascii="Arial" w:hAnsi="Arial" w:cs="Arial"/>
          <w:lang w:val="mn-MN"/>
        </w:rPr>
        <w:t>.</w:t>
      </w:r>
      <w:r w:rsidR="00141347">
        <w:rPr>
          <w:rFonts w:ascii="Arial" w:hAnsi="Arial" w:cs="Arial"/>
          <w:lang w:val="mn-MN"/>
        </w:rPr>
        <w:t xml:space="preserve"> Тухайлбал</w:t>
      </w:r>
      <w:r w:rsidRPr="00197A82">
        <w:rPr>
          <w:rFonts w:ascii="Arial" w:hAnsi="Arial" w:cs="Arial"/>
          <w:lang w:val="mn-MN"/>
        </w:rPr>
        <w:t xml:space="preserve"> </w:t>
      </w:r>
      <w:r w:rsidR="00141347">
        <w:rPr>
          <w:rFonts w:ascii="Arial" w:hAnsi="Arial" w:cs="Arial"/>
          <w:lang w:val="mn-MN"/>
        </w:rPr>
        <w:t xml:space="preserve">Зигралл нарын судлаачид төрөх үед оношлогдсон тохиолдолыг төрөлхийн </w:t>
      </w:r>
      <w:r w:rsidR="009F6CB6">
        <w:rPr>
          <w:rFonts w:ascii="Arial" w:hAnsi="Arial" w:cs="Arial"/>
          <w:lang w:val="mn-MN"/>
        </w:rPr>
        <w:t>болор цайх өвчин</w:t>
      </w:r>
      <w:r w:rsidR="00141347">
        <w:rPr>
          <w:rFonts w:ascii="Arial" w:hAnsi="Arial" w:cs="Arial"/>
          <w:lang w:val="mn-MN"/>
        </w:rPr>
        <w:t>д оруулж тооцсон. Хари</w:t>
      </w:r>
      <w:r w:rsidR="009F6CB6">
        <w:rPr>
          <w:rFonts w:ascii="Arial" w:hAnsi="Arial" w:cs="Arial"/>
          <w:lang w:val="mn-MN"/>
        </w:rPr>
        <w:t>н Шээладив нарын судлаачид төрс</w:t>
      </w:r>
      <w:r w:rsidR="00141347">
        <w:rPr>
          <w:rFonts w:ascii="Arial" w:hAnsi="Arial" w:cs="Arial"/>
          <w:lang w:val="mn-MN"/>
        </w:rPr>
        <w:t xml:space="preserve">ний дараах 2 сарын </w:t>
      </w:r>
      <w:r w:rsidRPr="00197A82">
        <w:rPr>
          <w:rFonts w:ascii="Arial" w:hAnsi="Arial" w:cs="Arial"/>
          <w:lang w:val="mn-MN"/>
        </w:rPr>
        <w:t xml:space="preserve">дотор үүссэн </w:t>
      </w:r>
      <w:r w:rsidR="009F6CB6">
        <w:rPr>
          <w:rFonts w:ascii="Arial" w:hAnsi="Arial" w:cs="Arial"/>
          <w:lang w:val="mn-MN"/>
        </w:rPr>
        <w:t>болор цайх өвчнийг</w:t>
      </w:r>
      <w:r w:rsidRPr="00197A82">
        <w:rPr>
          <w:rFonts w:ascii="Arial" w:hAnsi="Arial" w:cs="Arial"/>
          <w:lang w:val="mn-MN"/>
        </w:rPr>
        <w:t xml:space="preserve"> төрөлхийн боло</w:t>
      </w:r>
      <w:r>
        <w:rPr>
          <w:rFonts w:ascii="Arial" w:hAnsi="Arial" w:cs="Arial"/>
          <w:lang w:val="mn-MN"/>
        </w:rPr>
        <w:t>р цайх өвчин</w:t>
      </w:r>
      <w:r w:rsidR="00141347">
        <w:rPr>
          <w:rFonts w:ascii="Arial" w:hAnsi="Arial" w:cs="Arial"/>
          <w:lang w:val="mn-MN"/>
        </w:rPr>
        <w:t xml:space="preserve"> гэж тодорхойлсон байна</w:t>
      </w:r>
      <w:r w:rsidR="00AD1B23">
        <w:rPr>
          <w:rFonts w:ascii="Arial" w:hAnsi="Arial" w:cs="Arial"/>
          <w:vertAlign w:val="superscript"/>
          <w:lang w:val="mn-MN"/>
        </w:rPr>
        <w:t>3</w:t>
      </w:r>
      <w:r w:rsidR="00141347">
        <w:rPr>
          <w:rFonts w:ascii="Arial" w:hAnsi="Arial" w:cs="Arial"/>
          <w:lang w:val="mn-MN"/>
        </w:rPr>
        <w:t>.</w:t>
      </w:r>
      <w:r>
        <w:rPr>
          <w:rFonts w:ascii="Arial" w:hAnsi="Arial" w:cs="Arial"/>
          <w:vertAlign w:val="superscript"/>
          <w:lang w:val="mn-MN"/>
        </w:rPr>
        <w:t xml:space="preserve"> </w:t>
      </w:r>
    </w:p>
    <w:p w14:paraId="687FF455" w14:textId="77777777" w:rsidR="00297026" w:rsidRDefault="00141347" w:rsidP="00ED2338">
      <w:pPr>
        <w:pStyle w:val="Default"/>
        <w:jc w:val="both"/>
        <w:rPr>
          <w:rFonts w:ascii="Arial" w:hAnsi="Arial" w:cs="Arial"/>
          <w:lang w:val="mn-MN"/>
        </w:rPr>
      </w:pPr>
      <w:r>
        <w:rPr>
          <w:rFonts w:ascii="Arial" w:hAnsi="Arial" w:cs="Arial"/>
          <w:lang w:val="mn-MN"/>
        </w:rPr>
        <w:t>Олон улсын судлаачид т</w:t>
      </w:r>
      <w:r w:rsidR="00297026" w:rsidRPr="00197A82">
        <w:rPr>
          <w:rFonts w:ascii="Arial" w:hAnsi="Arial" w:cs="Arial"/>
          <w:lang w:val="mn-MN"/>
        </w:rPr>
        <w:t>өрөлхийн болор цайх өвчин нь хагас яаралта</w:t>
      </w:r>
      <w:r>
        <w:rPr>
          <w:rFonts w:ascii="Arial" w:hAnsi="Arial" w:cs="Arial"/>
          <w:lang w:val="mn-MN"/>
        </w:rPr>
        <w:t>й журмаар мэс засалд орох шаардлагатайг</w:t>
      </w:r>
      <w:r w:rsidR="00AD1B23">
        <w:rPr>
          <w:rFonts w:ascii="Arial" w:hAnsi="Arial" w:cs="Arial"/>
          <w:vertAlign w:val="superscript"/>
          <w:lang w:val="mn-MN"/>
        </w:rPr>
        <w:t>4</w:t>
      </w:r>
      <w:r>
        <w:rPr>
          <w:rFonts w:ascii="Arial" w:hAnsi="Arial" w:cs="Arial"/>
          <w:lang w:val="mn-MN"/>
        </w:rPr>
        <w:t xml:space="preserve"> мэдээлж байна. Мөн </w:t>
      </w:r>
      <w:r w:rsidR="00297026" w:rsidRPr="001A53C1">
        <w:rPr>
          <w:rFonts w:ascii="Arial" w:hAnsi="Arial" w:cs="Arial"/>
          <w:lang w:val="mn-MN"/>
        </w:rPr>
        <w:t xml:space="preserve">2 нүдний төрөлхийн </w:t>
      </w:r>
      <w:r w:rsidR="009F6CB6">
        <w:rPr>
          <w:rFonts w:ascii="Arial" w:hAnsi="Arial" w:cs="Arial"/>
          <w:lang w:val="mn-MN"/>
        </w:rPr>
        <w:t>болор цайх өвчин</w:t>
      </w:r>
      <w:r w:rsidR="00297026" w:rsidRPr="001A53C1">
        <w:rPr>
          <w:rFonts w:ascii="Arial" w:hAnsi="Arial" w:cs="Arial"/>
          <w:lang w:val="mn-MN"/>
        </w:rPr>
        <w:t xml:space="preserve"> </w:t>
      </w:r>
      <w:r>
        <w:rPr>
          <w:rFonts w:ascii="Arial" w:hAnsi="Arial" w:cs="Arial"/>
          <w:lang w:val="mn-MN"/>
        </w:rPr>
        <w:t xml:space="preserve">хүүхдэд </w:t>
      </w:r>
      <w:r w:rsidR="00297026" w:rsidRPr="001A53C1">
        <w:rPr>
          <w:rFonts w:ascii="Arial" w:hAnsi="Arial" w:cs="Arial"/>
          <w:lang w:val="mn-MN"/>
        </w:rPr>
        <w:t>3 сар</w:t>
      </w:r>
      <w:r w:rsidR="009F6CB6">
        <w:rPr>
          <w:rFonts w:ascii="Arial" w:hAnsi="Arial" w:cs="Arial"/>
          <w:lang w:val="mn-MN"/>
        </w:rPr>
        <w:t>тайг</w:t>
      </w:r>
      <w:r w:rsidR="00297026" w:rsidRPr="001A53C1">
        <w:rPr>
          <w:rFonts w:ascii="Arial" w:hAnsi="Arial" w:cs="Arial"/>
          <w:lang w:val="mn-MN"/>
        </w:rPr>
        <w:t>аас хойш оношлогдвол хүлээгдэл</w:t>
      </w:r>
      <w:r>
        <w:rPr>
          <w:rFonts w:ascii="Arial" w:hAnsi="Arial" w:cs="Arial"/>
          <w:lang w:val="mn-MN"/>
        </w:rPr>
        <w:t>гүйгээр мэс засалд оруулахыг зөвлөж байна</w:t>
      </w:r>
      <w:r w:rsidR="00AD1B23">
        <w:rPr>
          <w:sz w:val="22"/>
          <w:szCs w:val="20"/>
          <w:vertAlign w:val="superscript"/>
          <w:lang w:val="mn-MN"/>
        </w:rPr>
        <w:t>1</w:t>
      </w:r>
      <w:r w:rsidR="000F1E7C">
        <w:rPr>
          <w:sz w:val="20"/>
          <w:szCs w:val="20"/>
          <w:lang w:val="mn-MN"/>
        </w:rPr>
        <w:t>.</w:t>
      </w:r>
      <w:r w:rsidR="00452900">
        <w:rPr>
          <w:sz w:val="20"/>
          <w:szCs w:val="20"/>
          <w:lang w:val="mn-MN"/>
        </w:rPr>
        <w:t xml:space="preserve"> </w:t>
      </w:r>
      <w:r w:rsidR="00297026" w:rsidRPr="00197A82">
        <w:rPr>
          <w:rFonts w:ascii="Arial" w:hAnsi="Arial" w:cs="Arial"/>
          <w:lang w:val="mn-MN"/>
        </w:rPr>
        <w:t xml:space="preserve">Төрөлхийн </w:t>
      </w:r>
      <w:r w:rsidR="009F6CB6">
        <w:rPr>
          <w:rFonts w:ascii="Arial" w:hAnsi="Arial" w:cs="Arial"/>
          <w:lang w:val="mn-MN"/>
        </w:rPr>
        <w:t>болор цайх өвчин</w:t>
      </w:r>
      <w:r w:rsidR="00297026" w:rsidRPr="00197A82">
        <w:rPr>
          <w:rFonts w:ascii="Arial" w:hAnsi="Arial" w:cs="Arial"/>
          <w:lang w:val="mn-MN"/>
        </w:rPr>
        <w:t xml:space="preserve"> </w:t>
      </w:r>
      <w:r w:rsidR="000F1E7C">
        <w:rPr>
          <w:rFonts w:ascii="Arial" w:hAnsi="Arial" w:cs="Arial"/>
          <w:lang w:val="mn-MN"/>
        </w:rPr>
        <w:t>нэг нүдний</w:t>
      </w:r>
      <w:r w:rsidR="000F1E7C">
        <w:rPr>
          <w:rFonts w:ascii="Arial" w:hAnsi="Arial" w:cs="Arial"/>
        </w:rPr>
        <w:t xml:space="preserve">x </w:t>
      </w:r>
      <w:r w:rsidR="00297026" w:rsidRPr="00197A82">
        <w:rPr>
          <w:rFonts w:ascii="Arial" w:hAnsi="Arial" w:cs="Arial"/>
          <w:lang w:val="mn-MN"/>
        </w:rPr>
        <w:t>6 долоо хоног дотор, 2 нүднийх 10 долоо хоног дотор</w:t>
      </w:r>
      <w:r w:rsidR="000F1E7C">
        <w:rPr>
          <w:rFonts w:ascii="Arial" w:hAnsi="Arial" w:cs="Arial"/>
          <w:lang w:val="mn-MN"/>
        </w:rPr>
        <w:t xml:space="preserve"> мэс засалд орохыг зөвлөж байна</w:t>
      </w:r>
      <w:r w:rsidR="00297026" w:rsidRPr="00197A82">
        <w:rPr>
          <w:rFonts w:ascii="Arial" w:hAnsi="Arial" w:cs="Arial"/>
          <w:lang w:val="mn-MN"/>
        </w:rPr>
        <w:t>.</w:t>
      </w:r>
      <w:r w:rsidR="00AD1B23">
        <w:rPr>
          <w:rFonts w:ascii="Arial" w:hAnsi="Arial" w:cs="Arial"/>
          <w:vertAlign w:val="superscript"/>
          <w:lang w:val="mn-MN"/>
        </w:rPr>
        <w:t>2</w:t>
      </w:r>
      <w:r w:rsidR="00297026" w:rsidRPr="00197A82">
        <w:rPr>
          <w:rFonts w:ascii="Arial" w:hAnsi="Arial" w:cs="Arial"/>
          <w:lang w:val="mn-MN"/>
        </w:rPr>
        <w:t xml:space="preserve"> </w:t>
      </w:r>
      <w:r w:rsidR="000F1E7C">
        <w:rPr>
          <w:rFonts w:ascii="Arial" w:hAnsi="Arial" w:cs="Arial"/>
          <w:lang w:val="mn-MN"/>
        </w:rPr>
        <w:t xml:space="preserve">Тууш судалгааны дүнгээр </w:t>
      </w:r>
      <w:r w:rsidR="00297026" w:rsidRPr="00197A82">
        <w:rPr>
          <w:rFonts w:ascii="Arial" w:hAnsi="Arial" w:cs="Arial"/>
          <w:lang w:val="mn-MN"/>
        </w:rPr>
        <w:t xml:space="preserve">хоёр нүдний төрөлхийн </w:t>
      </w:r>
      <w:r w:rsidR="009F6CB6">
        <w:rPr>
          <w:rFonts w:ascii="Arial" w:hAnsi="Arial" w:cs="Arial"/>
          <w:lang w:val="mn-MN"/>
        </w:rPr>
        <w:t>болор цайх өвчинтэ</w:t>
      </w:r>
      <w:r w:rsidR="00297026" w:rsidRPr="00197A82">
        <w:rPr>
          <w:rFonts w:ascii="Arial" w:hAnsi="Arial" w:cs="Arial"/>
          <w:lang w:val="mn-MN"/>
        </w:rPr>
        <w:t xml:space="preserve">й хүүхэд 10 долоо хоногийн дотор мэс засалд ороход 88% нь 20/60 ба түүнээс дээш харааны чадалтай байдаг бол 10 ба түүнээс дээш долоо хоногийн дараа </w:t>
      </w:r>
      <w:r w:rsidR="009F6CB6">
        <w:rPr>
          <w:rFonts w:ascii="Arial" w:hAnsi="Arial" w:cs="Arial"/>
          <w:lang w:val="mn-MN"/>
        </w:rPr>
        <w:t xml:space="preserve">мэс засалд </w:t>
      </w:r>
      <w:r w:rsidR="00297026" w:rsidRPr="00197A82">
        <w:rPr>
          <w:rFonts w:ascii="Arial" w:hAnsi="Arial" w:cs="Arial"/>
          <w:lang w:val="mn-MN"/>
        </w:rPr>
        <w:t>ороход харааны чад</w:t>
      </w:r>
      <w:r w:rsidR="000F1E7C">
        <w:rPr>
          <w:rFonts w:ascii="Arial" w:hAnsi="Arial" w:cs="Arial"/>
          <w:lang w:val="mn-MN"/>
        </w:rPr>
        <w:t>ал 20/100 ба түүнээс бага гарчээ</w:t>
      </w:r>
      <w:r w:rsidR="00297026">
        <w:rPr>
          <w:rFonts w:ascii="Arial" w:hAnsi="Arial" w:cs="Arial"/>
          <w:lang w:val="mn-MN"/>
        </w:rPr>
        <w:t>.</w:t>
      </w:r>
      <w:r w:rsidR="00AD1B23">
        <w:rPr>
          <w:rFonts w:ascii="Arial" w:hAnsi="Arial" w:cs="Arial"/>
          <w:vertAlign w:val="superscript"/>
          <w:lang w:val="mn-MN"/>
        </w:rPr>
        <w:t>5.</w:t>
      </w:r>
      <w:r w:rsidR="000F1E7C">
        <w:rPr>
          <w:rFonts w:ascii="Arial" w:hAnsi="Arial" w:cs="Arial"/>
          <w:vertAlign w:val="superscript"/>
          <w:lang w:val="mn-MN"/>
        </w:rPr>
        <w:t xml:space="preserve"> </w:t>
      </w:r>
      <w:r w:rsidR="000F1E7C">
        <w:rPr>
          <w:rFonts w:ascii="Arial" w:hAnsi="Arial" w:cs="Arial"/>
          <w:lang w:val="mn-MN"/>
        </w:rPr>
        <w:t xml:space="preserve"> Т</w:t>
      </w:r>
      <w:r w:rsidR="00297026" w:rsidRPr="00197A82">
        <w:rPr>
          <w:rFonts w:ascii="Arial" w:hAnsi="Arial" w:cs="Arial"/>
          <w:lang w:val="mn-MN"/>
        </w:rPr>
        <w:t>өрөлхийн болор цайх өвчнийг эрт илрүүлж</w:t>
      </w:r>
      <w:r w:rsidR="000F1E7C">
        <w:rPr>
          <w:rFonts w:ascii="Arial" w:hAnsi="Arial" w:cs="Arial"/>
          <w:lang w:val="mn-MN"/>
        </w:rPr>
        <w:t>,</w:t>
      </w:r>
      <w:r w:rsidR="00297026" w:rsidRPr="00197A82">
        <w:rPr>
          <w:rFonts w:ascii="Arial" w:hAnsi="Arial" w:cs="Arial"/>
          <w:lang w:val="mn-MN"/>
        </w:rPr>
        <w:t xml:space="preserve"> мэс заслын эмчилгээ цаг алдалгүй хийх нь </w:t>
      </w:r>
      <w:r w:rsidR="000F1E7C">
        <w:rPr>
          <w:rFonts w:ascii="Arial" w:hAnsi="Arial" w:cs="Arial"/>
          <w:lang w:val="mn-MN"/>
        </w:rPr>
        <w:t xml:space="preserve">мэс заслын дараах </w:t>
      </w:r>
      <w:r w:rsidR="00297026" w:rsidRPr="00197A82">
        <w:rPr>
          <w:rFonts w:ascii="Arial" w:hAnsi="Arial" w:cs="Arial"/>
          <w:lang w:val="mn-MN"/>
        </w:rPr>
        <w:t>харааны чадлыг сайжруулж</w:t>
      </w:r>
      <w:r w:rsidR="000F1E7C">
        <w:rPr>
          <w:rFonts w:ascii="Arial" w:hAnsi="Arial" w:cs="Arial"/>
          <w:lang w:val="mn-MN"/>
        </w:rPr>
        <w:t>,</w:t>
      </w:r>
      <w:r w:rsidR="00297026" w:rsidRPr="00197A82">
        <w:rPr>
          <w:rFonts w:ascii="Arial" w:hAnsi="Arial" w:cs="Arial"/>
          <w:lang w:val="mn-MN"/>
        </w:rPr>
        <w:t xml:space="preserve"> амьдралын чан</w:t>
      </w:r>
      <w:r w:rsidR="000F1E7C">
        <w:rPr>
          <w:rFonts w:ascii="Arial" w:hAnsi="Arial" w:cs="Arial"/>
          <w:lang w:val="mn-MN"/>
        </w:rPr>
        <w:t xml:space="preserve">арыг дээшлүүлэхэд чухал ач холбогдолтой байна. Гэвч  судлаачид төрөлхийн </w:t>
      </w:r>
      <w:r w:rsidR="009F6CB6">
        <w:rPr>
          <w:rFonts w:ascii="Arial" w:hAnsi="Arial" w:cs="Arial"/>
          <w:lang w:val="mn-MN"/>
        </w:rPr>
        <w:t>болор цайх өвчнийг</w:t>
      </w:r>
      <w:r w:rsidR="000F1E7C">
        <w:rPr>
          <w:rFonts w:ascii="Arial" w:hAnsi="Arial" w:cs="Arial"/>
          <w:lang w:val="mn-MN"/>
        </w:rPr>
        <w:t xml:space="preserve"> ялгаатай байдлаар тодорхойлж судалсан байгаа бөгөөд тус таамаглалыг олон төвд, өөрийн орны хүн амын дунд судлан тодорхойлж, хүүхдийн нүдний мэс заслын практикт шинжлэх ухааны нотолгоо бүрдүүлэх нь нэн чухал байна. </w:t>
      </w:r>
    </w:p>
    <w:p w14:paraId="23FD8AE2" w14:textId="77777777" w:rsidR="005711A3" w:rsidRDefault="00CF5397" w:rsidP="00ED2338">
      <w:pPr>
        <w:spacing w:after="0" w:line="240" w:lineRule="auto"/>
        <w:jc w:val="both"/>
        <w:rPr>
          <w:rFonts w:ascii="Arial" w:hAnsi="Arial" w:cs="Arial"/>
          <w:b/>
          <w:sz w:val="24"/>
          <w:szCs w:val="24"/>
        </w:rPr>
      </w:pPr>
      <w:r w:rsidRPr="00452900">
        <w:rPr>
          <w:rFonts w:ascii="Arial" w:hAnsi="Arial" w:cs="Arial"/>
          <w:b/>
          <w:sz w:val="24"/>
          <w:szCs w:val="24"/>
          <w:lang w:val="mn-MN"/>
        </w:rPr>
        <w:t>Зорилго</w:t>
      </w:r>
    </w:p>
    <w:p w14:paraId="0FCD6176" w14:textId="69D17835" w:rsidR="00CF5397" w:rsidRPr="00844DC9" w:rsidRDefault="00844DC9" w:rsidP="00ED2338">
      <w:pPr>
        <w:spacing w:after="0" w:line="240" w:lineRule="auto"/>
        <w:jc w:val="both"/>
        <w:rPr>
          <w:rFonts w:ascii="Arial" w:hAnsi="Arial" w:cs="Arial"/>
          <w:color w:val="000000"/>
          <w:sz w:val="24"/>
          <w:szCs w:val="24"/>
          <w:lang w:val="mn-MN"/>
        </w:rPr>
      </w:pPr>
      <w:r w:rsidRPr="00844DC9">
        <w:rPr>
          <w:rFonts w:ascii="Arial" w:hAnsi="Arial" w:cs="Arial"/>
          <w:color w:val="000000"/>
          <w:sz w:val="24"/>
          <w:szCs w:val="24"/>
          <w:lang w:val="mn-MN"/>
        </w:rPr>
        <w:t>Төрөлхийн болор цайх өвчин оношлогдсон хүүхдүүдийн  мэс заслын хүлээгдлийн хугацаа ба мэс заслын дараах харааны чадал хоорондын хамаарлыг судлах</w:t>
      </w:r>
    </w:p>
    <w:p w14:paraId="552093A7" w14:textId="239D46BD" w:rsidR="00CF5397" w:rsidRDefault="00CF5397" w:rsidP="00ED2338">
      <w:pPr>
        <w:spacing w:line="240" w:lineRule="auto"/>
        <w:rPr>
          <w:rFonts w:ascii="Arial" w:hAnsi="Arial" w:cs="Arial"/>
          <w:b/>
          <w:sz w:val="24"/>
          <w:szCs w:val="24"/>
          <w:lang w:val="mn-MN"/>
        </w:rPr>
      </w:pPr>
      <w:r w:rsidRPr="00452900">
        <w:rPr>
          <w:rFonts w:ascii="Arial" w:hAnsi="Arial" w:cs="Arial"/>
          <w:b/>
          <w:sz w:val="24"/>
          <w:szCs w:val="24"/>
          <w:lang w:val="mn-MN"/>
        </w:rPr>
        <w:t>Зорилт</w:t>
      </w:r>
    </w:p>
    <w:p w14:paraId="5DCD58D0" w14:textId="77777777" w:rsidR="00CF5397" w:rsidRPr="00CF5397" w:rsidRDefault="00CF5397" w:rsidP="00ED2338">
      <w:pPr>
        <w:spacing w:line="240" w:lineRule="auto"/>
        <w:ind w:left="720"/>
        <w:jc w:val="both"/>
        <w:rPr>
          <w:rFonts w:ascii="Arial" w:hAnsi="Arial" w:cs="Arial"/>
          <w:sz w:val="24"/>
          <w:szCs w:val="24"/>
          <w:lang w:val="mn-MN"/>
        </w:rPr>
      </w:pPr>
      <w:r w:rsidRPr="00CF5397">
        <w:rPr>
          <w:rFonts w:ascii="Arial" w:hAnsi="Arial" w:cs="Arial"/>
          <w:sz w:val="24"/>
          <w:szCs w:val="24"/>
          <w:lang w:val="mn-MN"/>
        </w:rPr>
        <w:lastRenderedPageBreak/>
        <w:t xml:space="preserve">1. </w:t>
      </w:r>
      <w:r w:rsidR="00787083">
        <w:rPr>
          <w:rFonts w:ascii="Arial" w:hAnsi="Arial" w:cs="Arial"/>
          <w:sz w:val="24"/>
          <w:szCs w:val="24"/>
          <w:lang w:val="mn-MN"/>
        </w:rPr>
        <w:t>М</w:t>
      </w:r>
      <w:r w:rsidRPr="00CF5397">
        <w:rPr>
          <w:rFonts w:ascii="Arial" w:hAnsi="Arial" w:cs="Arial"/>
          <w:sz w:val="24"/>
          <w:szCs w:val="24"/>
          <w:lang w:val="mn-MN"/>
        </w:rPr>
        <w:t>э</w:t>
      </w:r>
      <w:r w:rsidR="00787083">
        <w:rPr>
          <w:rFonts w:ascii="Arial" w:hAnsi="Arial" w:cs="Arial"/>
          <w:sz w:val="24"/>
          <w:szCs w:val="24"/>
          <w:lang w:val="mn-MN"/>
        </w:rPr>
        <w:t>с заслын хүлээгдлийн хугацааг тогтоох</w:t>
      </w:r>
    </w:p>
    <w:p w14:paraId="29D51A07" w14:textId="77777777" w:rsidR="00CF5397" w:rsidRPr="00CF5397" w:rsidRDefault="00CF5397" w:rsidP="00ED2338">
      <w:pPr>
        <w:spacing w:line="240" w:lineRule="auto"/>
        <w:ind w:left="720"/>
        <w:jc w:val="both"/>
        <w:rPr>
          <w:rFonts w:ascii="Arial" w:hAnsi="Arial" w:cs="Arial"/>
          <w:sz w:val="24"/>
          <w:szCs w:val="24"/>
          <w:lang w:val="mn-MN"/>
        </w:rPr>
      </w:pPr>
      <w:r w:rsidRPr="00CF5397">
        <w:rPr>
          <w:rFonts w:ascii="Arial" w:hAnsi="Arial" w:cs="Arial"/>
          <w:sz w:val="24"/>
          <w:szCs w:val="24"/>
          <w:lang w:val="mn-MN"/>
        </w:rPr>
        <w:t>2. Төрөлхийн болор цайх өвчтэй хүүхдүүдийн мэс заслын дараах харааны чадлыг үнэлэх</w:t>
      </w:r>
    </w:p>
    <w:p w14:paraId="196375BF" w14:textId="0E4169AE" w:rsidR="00ED2338" w:rsidRDefault="00CF5397" w:rsidP="00ED2338">
      <w:pPr>
        <w:spacing w:line="240" w:lineRule="auto"/>
        <w:ind w:left="720"/>
        <w:jc w:val="both"/>
        <w:rPr>
          <w:rFonts w:ascii="Arial" w:hAnsi="Arial" w:cs="Arial"/>
          <w:sz w:val="24"/>
          <w:szCs w:val="24"/>
          <w:lang w:val="mn-MN"/>
        </w:rPr>
      </w:pPr>
      <w:r w:rsidRPr="00CF5397">
        <w:rPr>
          <w:rFonts w:ascii="Arial" w:hAnsi="Arial" w:cs="Arial"/>
          <w:sz w:val="24"/>
          <w:szCs w:val="24"/>
          <w:lang w:val="mn-MN"/>
        </w:rPr>
        <w:t xml:space="preserve">3. Мэс заслын дараах харааны чадалд хүлээгдлийн хугацаа ба зарим хүчин зүйлсийн </w:t>
      </w:r>
      <w:r w:rsidR="00787083">
        <w:rPr>
          <w:rFonts w:ascii="Arial" w:hAnsi="Arial" w:cs="Arial"/>
          <w:sz w:val="24"/>
          <w:szCs w:val="24"/>
          <w:lang w:val="mn-MN"/>
        </w:rPr>
        <w:t>нө</w:t>
      </w:r>
      <w:r w:rsidRPr="00CF5397">
        <w:rPr>
          <w:rFonts w:ascii="Arial" w:hAnsi="Arial" w:cs="Arial"/>
          <w:sz w:val="24"/>
          <w:szCs w:val="24"/>
          <w:lang w:val="mn-MN"/>
        </w:rPr>
        <w:t>лөөлөх байдлыг тогтоох нь</w:t>
      </w:r>
    </w:p>
    <w:p w14:paraId="400AFD3E" w14:textId="597B0738" w:rsidR="005711A3" w:rsidRPr="005711A3" w:rsidRDefault="005711A3" w:rsidP="00ED2338">
      <w:pPr>
        <w:spacing w:line="240" w:lineRule="auto"/>
        <w:jc w:val="both"/>
        <w:rPr>
          <w:rFonts w:ascii="Arial" w:hAnsi="Arial" w:cs="Arial"/>
          <w:b/>
          <w:color w:val="000000"/>
          <w:sz w:val="24"/>
          <w:szCs w:val="24"/>
          <w:lang w:val="mn-MN"/>
        </w:rPr>
      </w:pPr>
      <w:r>
        <w:rPr>
          <w:rFonts w:ascii="Arial" w:hAnsi="Arial" w:cs="Arial"/>
          <w:b/>
          <w:color w:val="000000"/>
          <w:sz w:val="24"/>
          <w:szCs w:val="24"/>
          <w:lang w:val="mn-MN"/>
        </w:rPr>
        <w:t>Материал, арга зүй</w:t>
      </w:r>
    </w:p>
    <w:p w14:paraId="7E032420" w14:textId="17A8D211" w:rsidR="007D10EF" w:rsidRPr="00FB5664" w:rsidRDefault="007D10EF" w:rsidP="00ED2338">
      <w:pPr>
        <w:spacing w:line="240" w:lineRule="auto"/>
        <w:ind w:firstLine="720"/>
        <w:jc w:val="both"/>
        <w:rPr>
          <w:rFonts w:ascii="Arial" w:hAnsi="Arial" w:cs="Arial"/>
          <w:color w:val="000000"/>
          <w:sz w:val="24"/>
          <w:szCs w:val="24"/>
          <w:lang w:val="mn-MN"/>
        </w:rPr>
      </w:pPr>
      <w:r>
        <w:rPr>
          <w:rFonts w:ascii="Arial" w:hAnsi="Arial" w:cs="Arial"/>
          <w:color w:val="000000"/>
          <w:sz w:val="24"/>
          <w:szCs w:val="24"/>
          <w:lang w:val="mn-MN"/>
        </w:rPr>
        <w:t>Судалгааг р</w:t>
      </w:r>
      <w:r w:rsidR="00FB5664">
        <w:rPr>
          <w:rFonts w:ascii="Arial" w:hAnsi="Arial" w:cs="Arial"/>
          <w:color w:val="000000"/>
          <w:sz w:val="24"/>
          <w:szCs w:val="24"/>
          <w:lang w:val="mn-MN"/>
        </w:rPr>
        <w:t xml:space="preserve">етроспектив тууш судалгааны загвараар Эх Хүүхдийн Эрүүл Мэндийн Үндэсний Төвийн Нүдний Мэс Заслын тасгийг түшиглэн хийж гүйцэтгэсэн. Судалгаанд хоёр нүдний төрөлхийн </w:t>
      </w:r>
      <w:r w:rsidR="009F6CB6">
        <w:rPr>
          <w:rFonts w:ascii="Arial" w:hAnsi="Arial" w:cs="Arial"/>
          <w:color w:val="000000"/>
          <w:sz w:val="24"/>
          <w:szCs w:val="24"/>
          <w:lang w:val="mn-MN"/>
        </w:rPr>
        <w:t>болор цайх өвчин</w:t>
      </w:r>
      <w:r w:rsidR="00FB5664">
        <w:rPr>
          <w:rFonts w:ascii="Arial" w:hAnsi="Arial" w:cs="Arial"/>
          <w:color w:val="000000"/>
          <w:sz w:val="24"/>
          <w:szCs w:val="24"/>
          <w:lang w:val="mn-MN"/>
        </w:rPr>
        <w:t xml:space="preserve"> о</w:t>
      </w:r>
      <w:r w:rsidR="009F6CB6">
        <w:rPr>
          <w:rFonts w:ascii="Arial" w:hAnsi="Arial" w:cs="Arial"/>
          <w:color w:val="000000"/>
          <w:sz w:val="24"/>
          <w:szCs w:val="24"/>
          <w:lang w:val="mn-MN"/>
        </w:rPr>
        <w:t>ношилогдож, 2018 – 2020 онд бол</w:t>
      </w:r>
      <w:r w:rsidR="00FB5664">
        <w:rPr>
          <w:rFonts w:ascii="Arial" w:hAnsi="Arial" w:cs="Arial"/>
          <w:color w:val="000000"/>
          <w:sz w:val="24"/>
          <w:szCs w:val="24"/>
          <w:lang w:val="mn-MN"/>
        </w:rPr>
        <w:t>рын мэс засалд орсон тохиолдолуудыг анх</w:t>
      </w:r>
      <w:r w:rsidR="00844DC9">
        <w:rPr>
          <w:rFonts w:ascii="Arial" w:hAnsi="Arial" w:cs="Arial"/>
          <w:color w:val="000000"/>
          <w:sz w:val="24"/>
          <w:szCs w:val="24"/>
          <w:lang w:val="mn-MN"/>
        </w:rPr>
        <w:t xml:space="preserve"> өвчний шинж тэмдэг илэрсэн үеэ</w:t>
      </w:r>
      <w:r w:rsidR="00FB5664">
        <w:rPr>
          <w:rFonts w:ascii="Arial" w:hAnsi="Arial" w:cs="Arial"/>
          <w:color w:val="000000"/>
          <w:sz w:val="24"/>
          <w:szCs w:val="24"/>
          <w:lang w:val="mn-MN"/>
        </w:rPr>
        <w:t>с ретроспектив байдлаар мэс заслын дараах үе хүртэл дагаж судалсан</w:t>
      </w:r>
      <w:r w:rsidR="005711A3">
        <w:rPr>
          <w:rFonts w:ascii="Arial" w:hAnsi="Arial" w:cs="Arial"/>
          <w:color w:val="000000"/>
          <w:sz w:val="24"/>
          <w:szCs w:val="24"/>
          <w:lang w:val="mn-MN"/>
        </w:rPr>
        <w:t xml:space="preserve"> </w:t>
      </w:r>
      <w:r w:rsidR="003E489A">
        <w:rPr>
          <w:rFonts w:ascii="Arial" w:hAnsi="Arial" w:cs="Arial"/>
          <w:color w:val="000000"/>
          <w:sz w:val="24"/>
          <w:szCs w:val="24"/>
        </w:rPr>
        <w:t>(</w:t>
      </w:r>
      <w:r w:rsidR="009F6CB6">
        <w:rPr>
          <w:rFonts w:ascii="Arial" w:hAnsi="Arial" w:cs="Arial"/>
          <w:color w:val="000000"/>
          <w:sz w:val="24"/>
          <w:szCs w:val="24"/>
          <w:lang w:val="mn-MN"/>
        </w:rPr>
        <w:t>Зураг 1</w:t>
      </w:r>
      <w:r w:rsidR="003E489A">
        <w:rPr>
          <w:rFonts w:ascii="Arial" w:hAnsi="Arial" w:cs="Arial"/>
          <w:color w:val="000000"/>
          <w:sz w:val="24"/>
          <w:szCs w:val="24"/>
        </w:rPr>
        <w:t>)</w:t>
      </w:r>
      <w:r w:rsidR="00FB5664">
        <w:rPr>
          <w:rFonts w:ascii="Arial" w:hAnsi="Arial" w:cs="Arial"/>
          <w:color w:val="000000"/>
          <w:sz w:val="24"/>
          <w:szCs w:val="24"/>
          <w:lang w:val="mn-MN"/>
        </w:rPr>
        <w:t xml:space="preserve">. </w:t>
      </w:r>
    </w:p>
    <w:p w14:paraId="658FDF9D" w14:textId="77777777" w:rsidR="00FB5664" w:rsidRDefault="00FB5664" w:rsidP="00ED2338">
      <w:pPr>
        <w:spacing w:line="240" w:lineRule="auto"/>
        <w:jc w:val="center"/>
        <w:rPr>
          <w:lang w:val="mn-MN"/>
        </w:rPr>
      </w:pPr>
      <w:r>
        <w:rPr>
          <w:noProof/>
        </w:rPr>
        <w:drawing>
          <wp:inline distT="0" distB="0" distL="0" distR="0" wp14:anchorId="67A174BC" wp14:editId="2C8D3506">
            <wp:extent cx="4572000" cy="32645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816" t="1400" r="2767" b="3546"/>
                    <a:stretch/>
                  </pic:blipFill>
                  <pic:spPr bwMode="auto">
                    <a:xfrm>
                      <a:off x="0" y="0"/>
                      <a:ext cx="4577289" cy="3268345"/>
                    </a:xfrm>
                    <a:prstGeom prst="rect">
                      <a:avLst/>
                    </a:prstGeom>
                    <a:noFill/>
                    <a:ln>
                      <a:noFill/>
                    </a:ln>
                    <a:extLst>
                      <a:ext uri="{53640926-AAD7-44D8-BBD7-CCE9431645EC}">
                        <a14:shadowObscured xmlns:a14="http://schemas.microsoft.com/office/drawing/2010/main"/>
                      </a:ext>
                    </a:extLst>
                  </pic:spPr>
                </pic:pic>
              </a:graphicData>
            </a:graphic>
          </wp:inline>
        </w:drawing>
      </w:r>
    </w:p>
    <w:p w14:paraId="5B827183" w14:textId="77777777" w:rsidR="00FB5664" w:rsidRDefault="00FB5664" w:rsidP="00ED2338">
      <w:pPr>
        <w:spacing w:line="240" w:lineRule="auto"/>
        <w:jc w:val="center"/>
        <w:rPr>
          <w:rFonts w:ascii="Arial" w:hAnsi="Arial" w:cs="Arial"/>
          <w:sz w:val="24"/>
          <w:lang w:val="mn-MN"/>
        </w:rPr>
      </w:pPr>
      <w:r w:rsidRPr="00FB5664">
        <w:rPr>
          <w:rFonts w:ascii="Arial" w:hAnsi="Arial" w:cs="Arial"/>
          <w:b/>
          <w:sz w:val="24"/>
          <w:lang w:val="mn-MN"/>
        </w:rPr>
        <w:t xml:space="preserve">Зураг 1. </w:t>
      </w:r>
      <w:r w:rsidRPr="00FB5664">
        <w:rPr>
          <w:rFonts w:ascii="Arial" w:hAnsi="Arial" w:cs="Arial"/>
          <w:sz w:val="24"/>
          <w:lang w:val="mn-MN"/>
        </w:rPr>
        <w:t>Судалгааны загварын тойм бүдүүвч</w:t>
      </w:r>
    </w:p>
    <w:p w14:paraId="36498283" w14:textId="5A6B9375" w:rsidR="00171C91" w:rsidRDefault="00142CF4" w:rsidP="00ED2338">
      <w:pPr>
        <w:spacing w:line="240" w:lineRule="auto"/>
        <w:jc w:val="both"/>
        <w:rPr>
          <w:rFonts w:ascii="Arial" w:hAnsi="Arial" w:cs="Arial"/>
          <w:sz w:val="24"/>
          <w:lang w:val="mn-MN"/>
        </w:rPr>
      </w:pPr>
      <w:r>
        <w:rPr>
          <w:rFonts w:ascii="Arial" w:hAnsi="Arial" w:cs="Arial"/>
          <w:sz w:val="24"/>
          <w:lang w:val="mn-MN"/>
        </w:rPr>
        <w:t>Бид нистагмтай то</w:t>
      </w:r>
      <w:r w:rsidR="009F6CB6">
        <w:rPr>
          <w:rFonts w:ascii="Arial" w:hAnsi="Arial" w:cs="Arial"/>
          <w:sz w:val="24"/>
          <w:lang w:val="mn-MN"/>
        </w:rPr>
        <w:t>хиолдолд харааны чадлыг 10 хувиас доош буюу 0</w:t>
      </w:r>
      <w:r w:rsidR="005711A3">
        <w:rPr>
          <w:rFonts w:ascii="Arial" w:hAnsi="Arial" w:cs="Arial"/>
          <w:sz w:val="24"/>
          <w:lang w:val="mn-MN"/>
        </w:rPr>
        <w:t>.</w:t>
      </w:r>
      <w:r w:rsidR="009F6CB6">
        <w:rPr>
          <w:rFonts w:ascii="Arial" w:hAnsi="Arial" w:cs="Arial"/>
          <w:sz w:val="24"/>
          <w:lang w:val="mn-MN"/>
        </w:rPr>
        <w:t>09 байхаар, нистагмгүй бол 0</w:t>
      </w:r>
      <w:r w:rsidR="005711A3">
        <w:rPr>
          <w:rFonts w:ascii="Arial" w:hAnsi="Arial" w:cs="Arial"/>
          <w:sz w:val="24"/>
          <w:lang w:val="mn-MN"/>
        </w:rPr>
        <w:t>.</w:t>
      </w:r>
      <w:r w:rsidR="009F6CB6">
        <w:rPr>
          <w:rFonts w:ascii="Arial" w:hAnsi="Arial" w:cs="Arial"/>
          <w:sz w:val="24"/>
          <w:lang w:val="mn-MN"/>
        </w:rPr>
        <w:t xml:space="preserve">1 ба түүнээс дээш байхаар тооцсон. </w:t>
      </w:r>
      <w:r w:rsidR="003E489A">
        <w:rPr>
          <w:rFonts w:ascii="Arial" w:hAnsi="Arial" w:cs="Arial"/>
          <w:sz w:val="24"/>
          <w:lang w:val="mn-MN"/>
        </w:rPr>
        <w:t xml:space="preserve">Судалгааны түүврийн хэмжээг нэг түүвэрт хамаарал тооцох судалгааны таамаглалын хүрээнд </w:t>
      </w:r>
      <w:r w:rsidR="003E489A">
        <w:rPr>
          <w:rFonts w:ascii="Arial" w:hAnsi="Arial" w:cs="Arial"/>
          <w:sz w:val="24"/>
        </w:rPr>
        <w:t>open.epi</w:t>
      </w:r>
      <w:r w:rsidR="003E489A">
        <w:rPr>
          <w:rFonts w:ascii="Arial" w:hAnsi="Arial" w:cs="Arial"/>
          <w:sz w:val="24"/>
          <w:lang w:val="mn-MN"/>
        </w:rPr>
        <w:t xml:space="preserve"> програм</w:t>
      </w:r>
      <w:r w:rsidR="006D4416">
        <w:rPr>
          <w:rFonts w:ascii="Arial" w:hAnsi="Arial" w:cs="Arial"/>
          <w:sz w:val="24"/>
          <w:lang w:val="mn-MN"/>
        </w:rPr>
        <w:t>м</w:t>
      </w:r>
      <w:r w:rsidR="003E489A">
        <w:rPr>
          <w:rFonts w:ascii="Arial" w:hAnsi="Arial" w:cs="Arial"/>
          <w:sz w:val="24"/>
          <w:lang w:val="mn-MN"/>
        </w:rPr>
        <w:t xml:space="preserve">ыг ашиглан тооцсон. </w:t>
      </w:r>
      <w:r w:rsidR="001A6BDC">
        <w:rPr>
          <w:rFonts w:ascii="Arial" w:hAnsi="Arial" w:cs="Arial"/>
          <w:sz w:val="24"/>
          <w:lang w:val="mn-MN"/>
        </w:rPr>
        <w:t>Түүврийн хэмжээ</w:t>
      </w:r>
      <w:r w:rsidR="00223709">
        <w:rPr>
          <w:rFonts w:ascii="Arial" w:hAnsi="Arial" w:cs="Arial"/>
          <w:sz w:val="24"/>
          <w:lang w:val="mn-MN"/>
        </w:rPr>
        <w:t>г тооцохдоо хүлээгдлийн хугацаа</w:t>
      </w:r>
      <w:r w:rsidR="001A6BDC">
        <w:rPr>
          <w:rFonts w:ascii="Arial" w:hAnsi="Arial" w:cs="Arial"/>
          <w:sz w:val="24"/>
          <w:lang w:val="mn-MN"/>
        </w:rPr>
        <w:t xml:space="preserve"> 3 </w:t>
      </w:r>
      <w:r w:rsidR="00F93EFD">
        <w:rPr>
          <w:rFonts w:ascii="Arial" w:hAnsi="Arial" w:cs="Arial"/>
          <w:sz w:val="24"/>
          <w:lang w:val="mn-MN"/>
        </w:rPr>
        <w:t xml:space="preserve">долоо </w:t>
      </w:r>
      <w:r w:rsidR="001A6BDC">
        <w:rPr>
          <w:rFonts w:ascii="Arial" w:hAnsi="Arial" w:cs="Arial"/>
          <w:sz w:val="24"/>
          <w:lang w:val="mn-MN"/>
        </w:rPr>
        <w:t>хоногоор нэмэгдэхэд мэс заслын дараах харааны чадал 1 мөрөөр буурахаар тооцсон. Тооцоололд итгэх интервалыг 90.0</w:t>
      </w:r>
      <w:r w:rsidR="001A6BDC">
        <w:rPr>
          <w:rFonts w:ascii="Arial" w:hAnsi="Arial" w:cs="Arial"/>
          <w:sz w:val="24"/>
        </w:rPr>
        <w:t xml:space="preserve">%, </w:t>
      </w:r>
      <w:r w:rsidR="001A6BDC">
        <w:rPr>
          <w:rFonts w:ascii="Arial" w:hAnsi="Arial" w:cs="Arial"/>
          <w:sz w:val="24"/>
          <w:lang w:val="mn-MN"/>
        </w:rPr>
        <w:t xml:space="preserve"> алдааны төвшинг 0.1 байхаар тохируулсан. Хүлээгдлийн хугацаа ба мэс заслын дараах харааны чадал хоорондын хамаарлыг тодорхойлоход хамгийн багадаа хоёр нүдний төрөлхийн </w:t>
      </w:r>
      <w:r w:rsidR="009F6CB6">
        <w:rPr>
          <w:rFonts w:ascii="Arial" w:hAnsi="Arial" w:cs="Arial"/>
          <w:sz w:val="24"/>
          <w:lang w:val="mn-MN"/>
        </w:rPr>
        <w:t>болор цайх өвчин</w:t>
      </w:r>
      <w:r w:rsidR="001A6BDC">
        <w:rPr>
          <w:rFonts w:ascii="Arial" w:hAnsi="Arial" w:cs="Arial"/>
          <w:sz w:val="24"/>
          <w:lang w:val="mn-MN"/>
        </w:rPr>
        <w:t xml:space="preserve"> оношилогдсон 40 хүүхдийг хамруулах шаардлагатай байв. Бид судалгаанд оролцогчдыг магадлалт бус зорилтод түүврийн аргаар судалгааны багийн нөөц бололцоонд суурилж, оруулах ба хасах шалгуурыг баримтлан түүвэрлэсэн. </w:t>
      </w:r>
      <w:r w:rsidR="001A6BDC">
        <w:rPr>
          <w:rFonts w:ascii="Arial" w:hAnsi="Arial" w:cs="Arial"/>
          <w:sz w:val="24"/>
          <w:lang w:val="mn-MN"/>
        </w:rPr>
        <w:lastRenderedPageBreak/>
        <w:t>Судалгаанд 1 ба түүнээс бага настай,</w:t>
      </w:r>
      <w:r w:rsidR="00E05913">
        <w:rPr>
          <w:rFonts w:ascii="Arial" w:hAnsi="Arial" w:cs="Arial"/>
          <w:sz w:val="24"/>
          <w:lang w:val="mn-MN"/>
        </w:rPr>
        <w:t xml:space="preserve"> нүдний алимын чичирхийлсэн хөдөлгөөнтэй, бөөмийн </w:t>
      </w:r>
      <w:r w:rsidR="009F6CB6">
        <w:rPr>
          <w:rFonts w:ascii="Arial" w:hAnsi="Arial" w:cs="Arial"/>
          <w:sz w:val="24"/>
          <w:lang w:val="mn-MN"/>
        </w:rPr>
        <w:t>болор цайх өвчин</w:t>
      </w:r>
      <w:r w:rsidR="00223709">
        <w:rPr>
          <w:rFonts w:ascii="Arial" w:hAnsi="Arial" w:cs="Arial"/>
          <w:sz w:val="24"/>
          <w:lang w:val="mn-MN"/>
        </w:rPr>
        <w:t>тэ</w:t>
      </w:r>
      <w:r w:rsidR="00E05913">
        <w:rPr>
          <w:rFonts w:ascii="Arial" w:hAnsi="Arial" w:cs="Arial"/>
          <w:sz w:val="24"/>
          <w:lang w:val="mn-MN"/>
        </w:rPr>
        <w:t>й,</w:t>
      </w:r>
      <w:r w:rsidR="001A6BDC">
        <w:rPr>
          <w:rFonts w:ascii="Arial" w:hAnsi="Arial" w:cs="Arial"/>
          <w:sz w:val="24"/>
          <w:lang w:val="mn-MN"/>
        </w:rPr>
        <w:t xml:space="preserve"> завсарт лампаар нүдн</w:t>
      </w:r>
      <w:r w:rsidR="0048645E">
        <w:rPr>
          <w:rFonts w:ascii="Arial" w:hAnsi="Arial" w:cs="Arial"/>
          <w:sz w:val="24"/>
          <w:lang w:val="mn-MN"/>
        </w:rPr>
        <w:t>ий хоёр нүдний болор цайх өвчин</w:t>
      </w:r>
      <w:r w:rsidR="00F93EFD">
        <w:rPr>
          <w:rFonts w:ascii="Arial" w:hAnsi="Arial" w:cs="Arial"/>
          <w:sz w:val="24"/>
          <w:lang w:val="mn-MN"/>
        </w:rPr>
        <w:t xml:space="preserve"> онош</w:t>
      </w:r>
      <w:r w:rsidR="001A6BDC">
        <w:rPr>
          <w:rFonts w:ascii="Arial" w:hAnsi="Arial" w:cs="Arial"/>
          <w:sz w:val="24"/>
          <w:lang w:val="mn-MN"/>
        </w:rPr>
        <w:t>логдсон</w:t>
      </w:r>
      <w:r w:rsidR="005E6C48">
        <w:rPr>
          <w:rFonts w:ascii="Arial" w:hAnsi="Arial" w:cs="Arial"/>
          <w:sz w:val="24"/>
          <w:lang w:val="mn-MN"/>
        </w:rPr>
        <w:t>, багадаа 1 жил хянагдсан хүүхдийг хамруулсан</w:t>
      </w:r>
      <w:r w:rsidR="001A6BDC">
        <w:rPr>
          <w:rFonts w:ascii="Arial" w:hAnsi="Arial" w:cs="Arial"/>
          <w:sz w:val="24"/>
          <w:lang w:val="mn-MN"/>
        </w:rPr>
        <w:t>.</w:t>
      </w:r>
      <w:r w:rsidR="005E6C48">
        <w:rPr>
          <w:rFonts w:ascii="Arial" w:hAnsi="Arial" w:cs="Arial"/>
          <w:sz w:val="24"/>
          <w:lang w:val="mn-MN"/>
        </w:rPr>
        <w:t xml:space="preserve"> </w:t>
      </w:r>
      <w:r w:rsidR="001A6BDC">
        <w:rPr>
          <w:rFonts w:ascii="Arial" w:hAnsi="Arial" w:cs="Arial"/>
          <w:sz w:val="24"/>
          <w:lang w:val="mn-MN"/>
        </w:rPr>
        <w:t xml:space="preserve">Статистик боловсруулалтыг </w:t>
      </w:r>
      <w:r w:rsidR="001A6BDC">
        <w:rPr>
          <w:rFonts w:ascii="Arial" w:hAnsi="Arial" w:cs="Arial"/>
          <w:sz w:val="24"/>
        </w:rPr>
        <w:t xml:space="preserve">STATA 16.0 </w:t>
      </w:r>
      <w:r w:rsidR="001A6BDC">
        <w:rPr>
          <w:rFonts w:ascii="Arial" w:hAnsi="Arial" w:cs="Arial"/>
          <w:sz w:val="24"/>
          <w:lang w:val="mn-MN"/>
        </w:rPr>
        <w:t xml:space="preserve">програмыг ашиглан хийж гүйцэтгэв. </w:t>
      </w:r>
      <w:r w:rsidR="005E6C48">
        <w:rPr>
          <w:rFonts w:ascii="Arial" w:hAnsi="Arial" w:cs="Arial"/>
          <w:sz w:val="24"/>
          <w:lang w:val="mn-MN"/>
        </w:rPr>
        <w:t>Судалгааны өгөгдөлийг цэвэрлэж цэгцэлсний дараа тоон хувьсагчдын тархалтыг үнэлсэн. Тоон хувьсагчдын тархалт, хүлээгдлийн хугацаа хэвийн бус тархалттай байв. Тодорхойлогдсон алслагдсан утгыг тухайн хувьсагчийн хувьд хасаж анализад оруулж тооцсон. Дескриптив статистикийг тоо ба хувиар илэрхийлсэн. Тоон хувьсагчийн тархалт хэвийн бус учир харааны чадал 0.1 ба түүнээс дээш, 0.</w:t>
      </w:r>
      <w:r w:rsidR="00F93EFD">
        <w:rPr>
          <w:rFonts w:ascii="Arial" w:hAnsi="Arial" w:cs="Arial"/>
          <w:sz w:val="24"/>
          <w:lang w:val="mn-MN"/>
        </w:rPr>
        <w:t>0</w:t>
      </w:r>
      <w:r w:rsidR="005E6C48">
        <w:rPr>
          <w:rFonts w:ascii="Arial" w:hAnsi="Arial" w:cs="Arial"/>
          <w:sz w:val="24"/>
          <w:lang w:val="mn-MN"/>
        </w:rPr>
        <w:t>9 ба түүнээс бага 2 бүлэгт</w:t>
      </w:r>
      <w:r w:rsidR="00291E5D">
        <w:rPr>
          <w:rFonts w:ascii="Arial" w:hAnsi="Arial" w:cs="Arial"/>
          <w:sz w:val="24"/>
          <w:lang w:val="mn-MN"/>
        </w:rPr>
        <w:t xml:space="preserve"> </w:t>
      </w:r>
      <w:r w:rsidR="005E6C48">
        <w:rPr>
          <w:rFonts w:ascii="Arial" w:hAnsi="Arial" w:cs="Arial"/>
          <w:sz w:val="24"/>
          <w:lang w:val="mn-MN"/>
        </w:rPr>
        <w:t>хүлээгд</w:t>
      </w:r>
      <w:r w:rsidR="00171C91">
        <w:rPr>
          <w:rFonts w:ascii="Arial" w:hAnsi="Arial" w:cs="Arial"/>
          <w:sz w:val="24"/>
          <w:lang w:val="mn-MN"/>
        </w:rPr>
        <w:t>лийн хугацааны дунджийн ялгааг манн витнье Ю тестээр тодорхойлсон. Р утга 0.05-аас бага тохиолдолд статистик ач холбогдол бүхий ялгаатай гэж үзсэн. Харааны чадалд хүлээгдлийн хугацааны эрсдлийн үнэлгээг ординал регрессийн загвараар тодорхойлсон.</w:t>
      </w:r>
    </w:p>
    <w:p w14:paraId="0C415A01" w14:textId="63B21212" w:rsidR="00494246" w:rsidRDefault="00494246" w:rsidP="00ED2338">
      <w:pPr>
        <w:autoSpaceDE w:val="0"/>
        <w:autoSpaceDN w:val="0"/>
        <w:adjustRightInd w:val="0"/>
        <w:spacing w:after="0" w:line="240" w:lineRule="auto"/>
        <w:jc w:val="both"/>
        <w:rPr>
          <w:rFonts w:ascii="Arial" w:hAnsi="Arial" w:cs="Arial"/>
          <w:b/>
          <w:sz w:val="24"/>
          <w:lang w:val="mn-MN"/>
        </w:rPr>
      </w:pPr>
      <w:r>
        <w:rPr>
          <w:rFonts w:ascii="Arial" w:hAnsi="Arial" w:cs="Arial"/>
          <w:b/>
          <w:sz w:val="24"/>
          <w:lang w:val="mn-MN"/>
        </w:rPr>
        <w:t>Үр дүн</w:t>
      </w:r>
    </w:p>
    <w:p w14:paraId="29224E5E" w14:textId="4C5C25DB" w:rsidR="007D10EF" w:rsidRPr="00452900" w:rsidRDefault="0033396A" w:rsidP="00ED2338">
      <w:pPr>
        <w:autoSpaceDE w:val="0"/>
        <w:autoSpaceDN w:val="0"/>
        <w:adjustRightInd w:val="0"/>
        <w:spacing w:after="0" w:line="240" w:lineRule="auto"/>
        <w:ind w:firstLine="720"/>
        <w:jc w:val="both"/>
        <w:rPr>
          <w:rFonts w:ascii="Arial" w:hAnsi="Arial" w:cs="Arial"/>
          <w:sz w:val="24"/>
          <w:szCs w:val="24"/>
          <w:lang w:val="mn-MN"/>
        </w:rPr>
      </w:pPr>
      <w:r w:rsidRPr="0033396A">
        <w:rPr>
          <w:rFonts w:ascii="Arial" w:hAnsi="Arial" w:cs="Arial"/>
          <w:sz w:val="24"/>
          <w:szCs w:val="24"/>
        </w:rPr>
        <w:t xml:space="preserve">Судалгаанд 16 хүртэлх насны </w:t>
      </w:r>
      <w:r>
        <w:rPr>
          <w:rFonts w:ascii="Arial" w:hAnsi="Arial" w:cs="Arial"/>
          <w:sz w:val="24"/>
          <w:szCs w:val="24"/>
          <w:lang w:val="mn-MN"/>
        </w:rPr>
        <w:t>төрөлхийн, хоёр нү</w:t>
      </w:r>
      <w:r w:rsidRPr="0033396A">
        <w:rPr>
          <w:rFonts w:ascii="Arial" w:hAnsi="Arial" w:cs="Arial"/>
          <w:sz w:val="24"/>
          <w:szCs w:val="24"/>
          <w:lang w:val="mn-MN"/>
        </w:rPr>
        <w:t xml:space="preserve">дний </w:t>
      </w:r>
      <w:r w:rsidRPr="0033396A">
        <w:rPr>
          <w:rFonts w:ascii="Arial" w:hAnsi="Arial" w:cs="Arial"/>
          <w:sz w:val="24"/>
          <w:szCs w:val="24"/>
        </w:rPr>
        <w:t>болор цайх өвчин оношлогдсон 46 тохиолдлыг хамруулав. Хүүхдийн 61</w:t>
      </w:r>
      <w:r w:rsidR="005711A3">
        <w:rPr>
          <w:rFonts w:ascii="Arial" w:hAnsi="Arial" w:cs="Arial"/>
          <w:sz w:val="24"/>
          <w:szCs w:val="24"/>
          <w:lang w:val="mn-MN"/>
        </w:rPr>
        <w:t>.0</w:t>
      </w:r>
      <w:r w:rsidR="00291E5D">
        <w:rPr>
          <w:rFonts w:ascii="Arial" w:hAnsi="Arial" w:cs="Arial"/>
          <w:sz w:val="24"/>
          <w:szCs w:val="24"/>
          <w:lang w:val="mn-MN"/>
        </w:rPr>
        <w:t xml:space="preserve">% </w:t>
      </w:r>
      <w:r w:rsidRPr="0033396A">
        <w:rPr>
          <w:rFonts w:ascii="Arial" w:hAnsi="Arial" w:cs="Arial"/>
          <w:sz w:val="24"/>
          <w:szCs w:val="24"/>
        </w:rPr>
        <w:t>нь эрэгтэй, 58.7</w:t>
      </w:r>
      <w:r w:rsidR="00291E5D">
        <w:rPr>
          <w:rFonts w:ascii="Arial" w:hAnsi="Arial" w:cs="Arial"/>
          <w:sz w:val="24"/>
          <w:szCs w:val="24"/>
          <w:lang w:val="mn-MN"/>
        </w:rPr>
        <w:t xml:space="preserve">% </w:t>
      </w:r>
      <w:r w:rsidRPr="0033396A">
        <w:rPr>
          <w:rFonts w:ascii="Arial" w:hAnsi="Arial" w:cs="Arial"/>
          <w:sz w:val="24"/>
          <w:szCs w:val="24"/>
        </w:rPr>
        <w:t>нь хөдөө</w:t>
      </w:r>
      <w:r>
        <w:rPr>
          <w:rFonts w:ascii="Arial" w:hAnsi="Arial" w:cs="Arial"/>
          <w:sz w:val="24"/>
          <w:szCs w:val="24"/>
        </w:rPr>
        <w:t xml:space="preserve"> орон нутгийн харьяалалтай </w:t>
      </w:r>
      <w:r>
        <w:rPr>
          <w:rFonts w:ascii="Arial" w:hAnsi="Arial" w:cs="Arial"/>
          <w:sz w:val="24"/>
          <w:szCs w:val="24"/>
          <w:lang w:val="mn-MN"/>
        </w:rPr>
        <w:t>байв.</w:t>
      </w:r>
      <w:r w:rsidR="00452900">
        <w:rPr>
          <w:rFonts w:ascii="Arial" w:hAnsi="Arial" w:cs="Arial"/>
          <w:sz w:val="24"/>
          <w:szCs w:val="24"/>
          <w:lang w:val="mn-MN"/>
        </w:rPr>
        <w:t xml:space="preserve"> Судалгаанд хамрагдсан хүүхдүүдэд мэс заслын дарааx харааны чадал 52.2% </w:t>
      </w:r>
      <w:r w:rsidR="00452900">
        <w:rPr>
          <w:rFonts w:ascii="Arial" w:hAnsi="Arial" w:cs="Arial"/>
          <w:sz w:val="24"/>
          <w:szCs w:val="24"/>
        </w:rPr>
        <w:t>(n=24)-</w:t>
      </w:r>
      <w:r w:rsidR="00CE2023">
        <w:rPr>
          <w:rFonts w:ascii="Arial" w:hAnsi="Arial" w:cs="Arial"/>
          <w:sz w:val="24"/>
          <w:szCs w:val="24"/>
          <w:lang w:val="mn-MN"/>
        </w:rPr>
        <w:t xml:space="preserve">д </w:t>
      </w:r>
      <w:r w:rsidR="00CE2023">
        <w:rPr>
          <w:rFonts w:ascii="Arial" w:hAnsi="Arial" w:cs="Arial"/>
          <w:sz w:val="24"/>
          <w:szCs w:val="24"/>
        </w:rPr>
        <w:t>&lt;</w:t>
      </w:r>
      <w:r w:rsidR="005711A3">
        <w:rPr>
          <w:rFonts w:ascii="Arial" w:hAnsi="Arial" w:cs="Arial"/>
          <w:sz w:val="24"/>
          <w:szCs w:val="24"/>
        </w:rPr>
        <w:t>0.</w:t>
      </w:r>
      <w:r w:rsidR="00CE2023">
        <w:rPr>
          <w:rFonts w:ascii="Arial" w:hAnsi="Arial" w:cs="Arial"/>
          <w:sz w:val="24"/>
          <w:szCs w:val="24"/>
          <w:lang w:val="mn-MN"/>
        </w:rPr>
        <w:t>09</w:t>
      </w:r>
      <w:r w:rsidR="00452900">
        <w:rPr>
          <w:rFonts w:ascii="Arial" w:hAnsi="Arial" w:cs="Arial"/>
          <w:sz w:val="24"/>
          <w:szCs w:val="24"/>
          <w:lang w:val="mn-MN"/>
        </w:rPr>
        <w:t xml:space="preserve">, 47.8% </w:t>
      </w:r>
      <w:r w:rsidR="00452900">
        <w:rPr>
          <w:rFonts w:ascii="Arial" w:hAnsi="Arial" w:cs="Arial"/>
          <w:sz w:val="24"/>
          <w:szCs w:val="24"/>
        </w:rPr>
        <w:t>(n=22)</w:t>
      </w:r>
      <w:r w:rsidR="00452900">
        <w:rPr>
          <w:rFonts w:ascii="Arial" w:hAnsi="Arial" w:cs="Arial"/>
          <w:sz w:val="24"/>
          <w:szCs w:val="24"/>
          <w:lang w:val="mn-MN"/>
        </w:rPr>
        <w:t>-д</w:t>
      </w:r>
      <w:r w:rsidR="00452900">
        <w:rPr>
          <w:rFonts w:ascii="Arial" w:hAnsi="Arial" w:cs="Arial"/>
          <w:sz w:val="24"/>
          <w:szCs w:val="24"/>
        </w:rPr>
        <w:t xml:space="preserve"> </w:t>
      </w:r>
      <w:r w:rsidR="00CE2023">
        <w:rPr>
          <w:rFonts w:ascii="Arial" w:hAnsi="Arial" w:cs="Arial"/>
          <w:sz w:val="24"/>
          <w:szCs w:val="24"/>
        </w:rPr>
        <w:t xml:space="preserve">0.1&lt; </w:t>
      </w:r>
      <w:r w:rsidR="00452900">
        <w:rPr>
          <w:rFonts w:ascii="Arial" w:hAnsi="Arial" w:cs="Arial"/>
          <w:sz w:val="24"/>
          <w:szCs w:val="24"/>
          <w:lang w:val="mn-MN"/>
        </w:rPr>
        <w:t xml:space="preserve">байна. </w:t>
      </w:r>
    </w:p>
    <w:p w14:paraId="6E5015BA" w14:textId="77777777" w:rsidR="0033396A" w:rsidRPr="00452900" w:rsidRDefault="0033396A" w:rsidP="00ED2338">
      <w:pPr>
        <w:spacing w:line="240" w:lineRule="auto"/>
        <w:rPr>
          <w:rFonts w:ascii="Arial" w:hAnsi="Arial" w:cs="Arial"/>
          <w:b/>
          <w:sz w:val="28"/>
          <w:szCs w:val="24"/>
        </w:rPr>
      </w:pPr>
      <w:r w:rsidRPr="00452900">
        <w:rPr>
          <w:rFonts w:ascii="Arial" w:hAnsi="Arial" w:cs="Arial"/>
          <w:b/>
          <w:sz w:val="24"/>
          <w:lang w:val="mn-MN"/>
        </w:rPr>
        <w:t xml:space="preserve">Хүснэгт 1. </w:t>
      </w:r>
      <w:r w:rsidRPr="00494246">
        <w:rPr>
          <w:rFonts w:ascii="Arial" w:hAnsi="Arial" w:cs="Arial"/>
          <w:bCs/>
          <w:sz w:val="24"/>
          <w:lang w:val="mn-MN"/>
        </w:rPr>
        <w:t>Хүн ам зүйн үзүүлэлт</w:t>
      </w:r>
      <w:r w:rsidR="00452900" w:rsidRPr="00494246">
        <w:rPr>
          <w:rFonts w:ascii="Arial" w:hAnsi="Arial" w:cs="Arial"/>
          <w:bCs/>
          <w:sz w:val="24"/>
          <w:lang w:val="mn-MN"/>
        </w:rPr>
        <w:t>, мэс заслын дараах харааны чадал</w:t>
      </w:r>
    </w:p>
    <w:tbl>
      <w:tblPr>
        <w:tblW w:w="9398"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580"/>
        <w:gridCol w:w="1539"/>
        <w:gridCol w:w="958"/>
        <w:gridCol w:w="1686"/>
        <w:gridCol w:w="1817"/>
        <w:gridCol w:w="1818"/>
      </w:tblGrid>
      <w:tr w:rsidR="0033396A" w:rsidRPr="007A0B3C" w14:paraId="58FF3751" w14:textId="77777777" w:rsidTr="00CE2023">
        <w:trPr>
          <w:cantSplit/>
          <w:trHeight w:val="269"/>
          <w:jc w:val="center"/>
        </w:trPr>
        <w:tc>
          <w:tcPr>
            <w:tcW w:w="3119" w:type="dxa"/>
            <w:gridSpan w:val="2"/>
            <w:vMerge w:val="restart"/>
            <w:tcBorders>
              <w:top w:val="single" w:sz="4" w:space="0" w:color="auto"/>
              <w:bottom w:val="nil"/>
            </w:tcBorders>
            <w:shd w:val="clear" w:color="auto" w:fill="auto"/>
            <w:vAlign w:val="center"/>
          </w:tcPr>
          <w:p w14:paraId="115E7C5B" w14:textId="77777777" w:rsidR="0033396A" w:rsidRPr="00251078" w:rsidRDefault="0033396A" w:rsidP="00ED2338">
            <w:pPr>
              <w:autoSpaceDE w:val="0"/>
              <w:autoSpaceDN w:val="0"/>
              <w:adjustRightInd w:val="0"/>
              <w:spacing w:after="0" w:line="240" w:lineRule="auto"/>
              <w:jc w:val="center"/>
              <w:rPr>
                <w:rFonts w:ascii="Arial" w:hAnsi="Arial" w:cs="Arial"/>
                <w:color w:val="000000" w:themeColor="text1"/>
                <w:lang w:val="mn-MN"/>
              </w:rPr>
            </w:pPr>
            <w:r w:rsidRPr="00251078">
              <w:rPr>
                <w:rFonts w:ascii="Arial" w:hAnsi="Arial" w:cs="Arial"/>
                <w:color w:val="000000" w:themeColor="text1"/>
                <w:lang w:val="mn-MN"/>
              </w:rPr>
              <w:t>Үзүүлэлт</w:t>
            </w:r>
          </w:p>
        </w:tc>
        <w:tc>
          <w:tcPr>
            <w:tcW w:w="958" w:type="dxa"/>
            <w:vMerge w:val="restart"/>
            <w:tcBorders>
              <w:top w:val="single" w:sz="4" w:space="0" w:color="auto"/>
              <w:bottom w:val="nil"/>
            </w:tcBorders>
            <w:shd w:val="clear" w:color="auto" w:fill="auto"/>
            <w:vAlign w:val="center"/>
          </w:tcPr>
          <w:p w14:paraId="70D5653B"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Тоо</w:t>
            </w:r>
          </w:p>
        </w:tc>
        <w:tc>
          <w:tcPr>
            <w:tcW w:w="1686" w:type="dxa"/>
            <w:vMerge w:val="restart"/>
            <w:tcBorders>
              <w:top w:val="single" w:sz="4" w:space="0" w:color="auto"/>
              <w:bottom w:val="nil"/>
            </w:tcBorders>
            <w:shd w:val="clear" w:color="auto" w:fill="auto"/>
            <w:vAlign w:val="center"/>
          </w:tcPr>
          <w:p w14:paraId="45996EC9"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Хувь</w:t>
            </w:r>
          </w:p>
        </w:tc>
        <w:tc>
          <w:tcPr>
            <w:tcW w:w="3635" w:type="dxa"/>
            <w:gridSpan w:val="2"/>
            <w:tcBorders>
              <w:top w:val="single" w:sz="4" w:space="0" w:color="auto"/>
              <w:bottom w:val="single" w:sz="4" w:space="0" w:color="auto"/>
            </w:tcBorders>
            <w:shd w:val="clear" w:color="auto" w:fill="auto"/>
            <w:vAlign w:val="center"/>
          </w:tcPr>
          <w:p w14:paraId="2A3BF3A8"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95.0</w:t>
            </w:r>
            <w:r w:rsidRPr="00251078">
              <w:rPr>
                <w:rFonts w:ascii="Arial" w:hAnsi="Arial" w:cs="Arial"/>
                <w:color w:val="000000" w:themeColor="text1"/>
              </w:rPr>
              <w:t xml:space="preserve">% </w:t>
            </w:r>
            <w:r w:rsidRPr="00251078">
              <w:rPr>
                <w:rFonts w:ascii="Arial" w:hAnsi="Arial" w:cs="Arial"/>
                <w:color w:val="000000" w:themeColor="text1"/>
                <w:lang w:val="mn-MN"/>
              </w:rPr>
              <w:t>ИИ</w:t>
            </w:r>
          </w:p>
        </w:tc>
      </w:tr>
      <w:tr w:rsidR="0033396A" w:rsidRPr="007A0B3C" w14:paraId="2BC24E6C" w14:textId="77777777" w:rsidTr="00CE2023">
        <w:trPr>
          <w:cantSplit/>
          <w:trHeight w:val="77"/>
          <w:jc w:val="center"/>
        </w:trPr>
        <w:tc>
          <w:tcPr>
            <w:tcW w:w="3119" w:type="dxa"/>
            <w:gridSpan w:val="2"/>
            <w:vMerge/>
            <w:tcBorders>
              <w:top w:val="nil"/>
              <w:bottom w:val="single" w:sz="4" w:space="0" w:color="auto"/>
            </w:tcBorders>
            <w:shd w:val="clear" w:color="auto" w:fill="auto"/>
            <w:vAlign w:val="center"/>
          </w:tcPr>
          <w:p w14:paraId="51F9FC9C" w14:textId="77777777" w:rsidR="0033396A" w:rsidRPr="00251078" w:rsidRDefault="0033396A" w:rsidP="00ED2338">
            <w:pPr>
              <w:autoSpaceDE w:val="0"/>
              <w:autoSpaceDN w:val="0"/>
              <w:adjustRightInd w:val="0"/>
              <w:spacing w:after="0" w:line="240" w:lineRule="auto"/>
              <w:jc w:val="center"/>
              <w:rPr>
                <w:rFonts w:ascii="Arial" w:hAnsi="Arial" w:cs="Arial"/>
                <w:color w:val="000000" w:themeColor="text1"/>
              </w:rPr>
            </w:pPr>
          </w:p>
        </w:tc>
        <w:tc>
          <w:tcPr>
            <w:tcW w:w="958" w:type="dxa"/>
            <w:vMerge/>
            <w:tcBorders>
              <w:top w:val="nil"/>
              <w:bottom w:val="single" w:sz="4" w:space="0" w:color="auto"/>
            </w:tcBorders>
            <w:shd w:val="clear" w:color="auto" w:fill="auto"/>
            <w:vAlign w:val="center"/>
          </w:tcPr>
          <w:p w14:paraId="7E5CD2DF"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686" w:type="dxa"/>
            <w:vMerge/>
            <w:tcBorders>
              <w:top w:val="nil"/>
              <w:bottom w:val="single" w:sz="4" w:space="0" w:color="auto"/>
            </w:tcBorders>
            <w:shd w:val="clear" w:color="auto" w:fill="auto"/>
            <w:vAlign w:val="center"/>
          </w:tcPr>
          <w:p w14:paraId="4A12ABEC"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817" w:type="dxa"/>
            <w:tcBorders>
              <w:top w:val="single" w:sz="4" w:space="0" w:color="auto"/>
              <w:bottom w:val="single" w:sz="4" w:space="0" w:color="auto"/>
            </w:tcBorders>
            <w:shd w:val="clear" w:color="auto" w:fill="auto"/>
            <w:vAlign w:val="center"/>
          </w:tcPr>
          <w:p w14:paraId="495A60C3"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Доод</w:t>
            </w:r>
          </w:p>
        </w:tc>
        <w:tc>
          <w:tcPr>
            <w:tcW w:w="1818" w:type="dxa"/>
            <w:tcBorders>
              <w:top w:val="single" w:sz="4" w:space="0" w:color="auto"/>
              <w:bottom w:val="single" w:sz="4" w:space="0" w:color="auto"/>
            </w:tcBorders>
            <w:shd w:val="clear" w:color="auto" w:fill="auto"/>
            <w:vAlign w:val="center"/>
          </w:tcPr>
          <w:p w14:paraId="2B3F057D"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Дээд</w:t>
            </w:r>
          </w:p>
        </w:tc>
      </w:tr>
      <w:tr w:rsidR="0033396A" w:rsidRPr="007A0B3C" w14:paraId="10F78330" w14:textId="77777777" w:rsidTr="00CE2023">
        <w:trPr>
          <w:cantSplit/>
          <w:trHeight w:val="149"/>
          <w:jc w:val="center"/>
        </w:trPr>
        <w:tc>
          <w:tcPr>
            <w:tcW w:w="1580" w:type="dxa"/>
            <w:tcBorders>
              <w:top w:val="single" w:sz="4" w:space="0" w:color="auto"/>
            </w:tcBorders>
            <w:shd w:val="clear" w:color="auto" w:fill="auto"/>
            <w:vAlign w:val="center"/>
          </w:tcPr>
          <w:p w14:paraId="5847600C"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lang w:val="mn-MN"/>
              </w:rPr>
            </w:pPr>
            <w:r w:rsidRPr="00251078">
              <w:rPr>
                <w:rFonts w:ascii="Arial" w:hAnsi="Arial" w:cs="Arial"/>
                <w:color w:val="000000" w:themeColor="text1"/>
                <w:lang w:val="mn-MN"/>
              </w:rPr>
              <w:t>Хүйс</w:t>
            </w:r>
          </w:p>
        </w:tc>
        <w:tc>
          <w:tcPr>
            <w:tcW w:w="1539" w:type="dxa"/>
            <w:tcBorders>
              <w:top w:val="single" w:sz="4" w:space="0" w:color="auto"/>
            </w:tcBorders>
            <w:shd w:val="clear" w:color="auto" w:fill="auto"/>
            <w:vAlign w:val="center"/>
          </w:tcPr>
          <w:p w14:paraId="453C8BE5"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958" w:type="dxa"/>
            <w:tcBorders>
              <w:top w:val="single" w:sz="4" w:space="0" w:color="auto"/>
            </w:tcBorders>
            <w:shd w:val="clear" w:color="auto" w:fill="auto"/>
            <w:vAlign w:val="center"/>
          </w:tcPr>
          <w:p w14:paraId="3ECF9A5F"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686" w:type="dxa"/>
            <w:tcBorders>
              <w:top w:val="single" w:sz="4" w:space="0" w:color="auto"/>
            </w:tcBorders>
            <w:shd w:val="clear" w:color="auto" w:fill="auto"/>
            <w:vAlign w:val="center"/>
          </w:tcPr>
          <w:p w14:paraId="3D62019C"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817" w:type="dxa"/>
            <w:tcBorders>
              <w:top w:val="single" w:sz="4" w:space="0" w:color="auto"/>
            </w:tcBorders>
            <w:shd w:val="clear" w:color="auto" w:fill="auto"/>
            <w:vAlign w:val="center"/>
          </w:tcPr>
          <w:p w14:paraId="73E48201"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818" w:type="dxa"/>
            <w:tcBorders>
              <w:top w:val="single" w:sz="4" w:space="0" w:color="auto"/>
            </w:tcBorders>
            <w:shd w:val="clear" w:color="auto" w:fill="auto"/>
            <w:vAlign w:val="center"/>
          </w:tcPr>
          <w:p w14:paraId="205C5361"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r>
      <w:tr w:rsidR="0033396A" w:rsidRPr="007A0B3C" w14:paraId="5ABCB65E" w14:textId="77777777" w:rsidTr="00CE2023">
        <w:trPr>
          <w:cantSplit/>
          <w:trHeight w:val="80"/>
          <w:jc w:val="center"/>
        </w:trPr>
        <w:tc>
          <w:tcPr>
            <w:tcW w:w="1580" w:type="dxa"/>
            <w:vMerge w:val="restart"/>
            <w:shd w:val="clear" w:color="auto" w:fill="auto"/>
            <w:vAlign w:val="center"/>
          </w:tcPr>
          <w:p w14:paraId="02707ED7"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539" w:type="dxa"/>
            <w:shd w:val="clear" w:color="auto" w:fill="auto"/>
            <w:vAlign w:val="center"/>
          </w:tcPr>
          <w:p w14:paraId="30BEACA3"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rPr>
            </w:pPr>
            <w:r w:rsidRPr="00251078">
              <w:rPr>
                <w:rFonts w:ascii="Arial" w:hAnsi="Arial" w:cs="Arial"/>
                <w:color w:val="000000" w:themeColor="text1"/>
              </w:rPr>
              <w:t>Эрэгтэй</w:t>
            </w:r>
          </w:p>
        </w:tc>
        <w:tc>
          <w:tcPr>
            <w:tcW w:w="958" w:type="dxa"/>
            <w:shd w:val="clear" w:color="auto" w:fill="auto"/>
            <w:vAlign w:val="center"/>
          </w:tcPr>
          <w:p w14:paraId="1DF1BB57"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28</w:t>
            </w:r>
          </w:p>
        </w:tc>
        <w:tc>
          <w:tcPr>
            <w:tcW w:w="1686" w:type="dxa"/>
            <w:shd w:val="clear" w:color="auto" w:fill="auto"/>
            <w:vAlign w:val="center"/>
          </w:tcPr>
          <w:p w14:paraId="5DACC614" w14:textId="120646D6"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60.9</w:t>
            </w:r>
          </w:p>
        </w:tc>
        <w:tc>
          <w:tcPr>
            <w:tcW w:w="1817" w:type="dxa"/>
            <w:shd w:val="clear" w:color="auto" w:fill="auto"/>
            <w:vAlign w:val="center"/>
          </w:tcPr>
          <w:p w14:paraId="4837E66D" w14:textId="7016AB1D"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46.5</w:t>
            </w:r>
          </w:p>
        </w:tc>
        <w:tc>
          <w:tcPr>
            <w:tcW w:w="1818" w:type="dxa"/>
            <w:shd w:val="clear" w:color="auto" w:fill="auto"/>
            <w:vAlign w:val="center"/>
          </w:tcPr>
          <w:p w14:paraId="238FB26D" w14:textId="35C4E264"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74.0</w:t>
            </w:r>
          </w:p>
        </w:tc>
      </w:tr>
      <w:tr w:rsidR="0033396A" w:rsidRPr="007A0B3C" w14:paraId="01E53367" w14:textId="77777777" w:rsidTr="00CE2023">
        <w:trPr>
          <w:cantSplit/>
          <w:trHeight w:val="80"/>
          <w:jc w:val="center"/>
        </w:trPr>
        <w:tc>
          <w:tcPr>
            <w:tcW w:w="1580" w:type="dxa"/>
            <w:vMerge/>
            <w:tcBorders>
              <w:bottom w:val="single" w:sz="4" w:space="0" w:color="auto"/>
            </w:tcBorders>
            <w:shd w:val="clear" w:color="auto" w:fill="auto"/>
            <w:vAlign w:val="center"/>
          </w:tcPr>
          <w:p w14:paraId="14AD2BE3" w14:textId="77777777" w:rsidR="0033396A" w:rsidRPr="00251078" w:rsidRDefault="0033396A" w:rsidP="00ED2338">
            <w:pPr>
              <w:autoSpaceDE w:val="0"/>
              <w:autoSpaceDN w:val="0"/>
              <w:adjustRightInd w:val="0"/>
              <w:spacing w:after="0" w:line="240" w:lineRule="auto"/>
              <w:jc w:val="center"/>
              <w:rPr>
                <w:rFonts w:ascii="Arial" w:hAnsi="Arial" w:cs="Arial"/>
                <w:color w:val="000000" w:themeColor="text1"/>
              </w:rPr>
            </w:pPr>
          </w:p>
        </w:tc>
        <w:tc>
          <w:tcPr>
            <w:tcW w:w="1539" w:type="dxa"/>
            <w:tcBorders>
              <w:bottom w:val="single" w:sz="4" w:space="0" w:color="auto"/>
            </w:tcBorders>
            <w:shd w:val="clear" w:color="auto" w:fill="auto"/>
            <w:vAlign w:val="center"/>
          </w:tcPr>
          <w:p w14:paraId="527960FB"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rPr>
            </w:pPr>
            <w:r w:rsidRPr="00251078">
              <w:rPr>
                <w:rFonts w:ascii="Arial" w:hAnsi="Arial" w:cs="Arial"/>
                <w:color w:val="000000" w:themeColor="text1"/>
              </w:rPr>
              <w:t>Эмэгтэй</w:t>
            </w:r>
          </w:p>
        </w:tc>
        <w:tc>
          <w:tcPr>
            <w:tcW w:w="958" w:type="dxa"/>
            <w:tcBorders>
              <w:bottom w:val="single" w:sz="4" w:space="0" w:color="auto"/>
            </w:tcBorders>
            <w:shd w:val="clear" w:color="auto" w:fill="auto"/>
            <w:vAlign w:val="center"/>
          </w:tcPr>
          <w:p w14:paraId="158A5BE5"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18</w:t>
            </w:r>
          </w:p>
        </w:tc>
        <w:tc>
          <w:tcPr>
            <w:tcW w:w="1686" w:type="dxa"/>
            <w:tcBorders>
              <w:bottom w:val="single" w:sz="4" w:space="0" w:color="auto"/>
            </w:tcBorders>
            <w:shd w:val="clear" w:color="auto" w:fill="auto"/>
            <w:vAlign w:val="center"/>
          </w:tcPr>
          <w:p w14:paraId="77F42A71" w14:textId="15D8335F"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39.1</w:t>
            </w:r>
          </w:p>
        </w:tc>
        <w:tc>
          <w:tcPr>
            <w:tcW w:w="1817" w:type="dxa"/>
            <w:tcBorders>
              <w:bottom w:val="single" w:sz="4" w:space="0" w:color="auto"/>
            </w:tcBorders>
            <w:shd w:val="clear" w:color="auto" w:fill="auto"/>
            <w:vAlign w:val="center"/>
          </w:tcPr>
          <w:p w14:paraId="6D0D317A" w14:textId="30AF64A2"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26.0</w:t>
            </w:r>
          </w:p>
        </w:tc>
        <w:tc>
          <w:tcPr>
            <w:tcW w:w="1818" w:type="dxa"/>
            <w:tcBorders>
              <w:bottom w:val="single" w:sz="4" w:space="0" w:color="auto"/>
            </w:tcBorders>
            <w:shd w:val="clear" w:color="auto" w:fill="auto"/>
            <w:vAlign w:val="center"/>
          </w:tcPr>
          <w:p w14:paraId="2E2FFC0C" w14:textId="0D55F5D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53.5</w:t>
            </w:r>
          </w:p>
        </w:tc>
      </w:tr>
      <w:tr w:rsidR="0033396A" w:rsidRPr="007A0B3C" w14:paraId="249AFD83" w14:textId="77777777" w:rsidTr="00CE2023">
        <w:trPr>
          <w:cantSplit/>
          <w:trHeight w:val="103"/>
          <w:jc w:val="center"/>
        </w:trPr>
        <w:tc>
          <w:tcPr>
            <w:tcW w:w="1580" w:type="dxa"/>
            <w:tcBorders>
              <w:top w:val="single" w:sz="4" w:space="0" w:color="auto"/>
              <w:bottom w:val="nil"/>
            </w:tcBorders>
            <w:shd w:val="clear" w:color="auto" w:fill="auto"/>
            <w:vAlign w:val="center"/>
          </w:tcPr>
          <w:p w14:paraId="50F19E21"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lang w:val="mn-MN"/>
              </w:rPr>
            </w:pPr>
            <w:r w:rsidRPr="00251078">
              <w:rPr>
                <w:rFonts w:ascii="Arial" w:hAnsi="Arial" w:cs="Arial"/>
                <w:color w:val="000000" w:themeColor="text1"/>
                <w:lang w:val="mn-MN"/>
              </w:rPr>
              <w:t>Харьяалал</w:t>
            </w:r>
          </w:p>
        </w:tc>
        <w:tc>
          <w:tcPr>
            <w:tcW w:w="1539" w:type="dxa"/>
            <w:tcBorders>
              <w:top w:val="single" w:sz="4" w:space="0" w:color="auto"/>
              <w:bottom w:val="nil"/>
            </w:tcBorders>
            <w:shd w:val="clear" w:color="auto" w:fill="auto"/>
            <w:vAlign w:val="center"/>
          </w:tcPr>
          <w:p w14:paraId="604C3C2B"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rPr>
            </w:pPr>
          </w:p>
        </w:tc>
        <w:tc>
          <w:tcPr>
            <w:tcW w:w="958" w:type="dxa"/>
            <w:tcBorders>
              <w:top w:val="single" w:sz="4" w:space="0" w:color="auto"/>
              <w:bottom w:val="nil"/>
            </w:tcBorders>
            <w:shd w:val="clear" w:color="auto" w:fill="auto"/>
            <w:vAlign w:val="center"/>
          </w:tcPr>
          <w:p w14:paraId="67AD28D7"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686" w:type="dxa"/>
            <w:tcBorders>
              <w:top w:val="single" w:sz="4" w:space="0" w:color="auto"/>
              <w:bottom w:val="nil"/>
            </w:tcBorders>
            <w:shd w:val="clear" w:color="auto" w:fill="auto"/>
            <w:vAlign w:val="center"/>
          </w:tcPr>
          <w:p w14:paraId="7904BD88"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817" w:type="dxa"/>
            <w:tcBorders>
              <w:top w:val="single" w:sz="4" w:space="0" w:color="auto"/>
              <w:bottom w:val="nil"/>
            </w:tcBorders>
            <w:shd w:val="clear" w:color="auto" w:fill="auto"/>
            <w:vAlign w:val="center"/>
          </w:tcPr>
          <w:p w14:paraId="45E80D28"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818" w:type="dxa"/>
            <w:tcBorders>
              <w:top w:val="single" w:sz="4" w:space="0" w:color="auto"/>
              <w:bottom w:val="nil"/>
            </w:tcBorders>
            <w:shd w:val="clear" w:color="auto" w:fill="auto"/>
            <w:vAlign w:val="center"/>
          </w:tcPr>
          <w:p w14:paraId="724D9005"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r>
      <w:tr w:rsidR="0033396A" w:rsidRPr="007A0B3C" w14:paraId="17FD10C2" w14:textId="77777777" w:rsidTr="00CE2023">
        <w:trPr>
          <w:cantSplit/>
          <w:trHeight w:val="117"/>
          <w:jc w:val="center"/>
        </w:trPr>
        <w:tc>
          <w:tcPr>
            <w:tcW w:w="1580" w:type="dxa"/>
            <w:vMerge w:val="restart"/>
            <w:tcBorders>
              <w:top w:val="nil"/>
              <w:bottom w:val="nil"/>
            </w:tcBorders>
            <w:shd w:val="clear" w:color="auto" w:fill="auto"/>
            <w:vAlign w:val="center"/>
          </w:tcPr>
          <w:p w14:paraId="68FC616E"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p>
        </w:tc>
        <w:tc>
          <w:tcPr>
            <w:tcW w:w="1539" w:type="dxa"/>
            <w:tcBorders>
              <w:top w:val="nil"/>
              <w:bottom w:val="nil"/>
            </w:tcBorders>
            <w:shd w:val="clear" w:color="auto" w:fill="auto"/>
            <w:vAlign w:val="center"/>
          </w:tcPr>
          <w:p w14:paraId="3532A6CF"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rPr>
            </w:pPr>
            <w:r w:rsidRPr="00251078">
              <w:rPr>
                <w:rFonts w:ascii="Arial" w:hAnsi="Arial" w:cs="Arial"/>
                <w:color w:val="000000" w:themeColor="text1"/>
              </w:rPr>
              <w:t>Хот</w:t>
            </w:r>
          </w:p>
        </w:tc>
        <w:tc>
          <w:tcPr>
            <w:tcW w:w="958" w:type="dxa"/>
            <w:tcBorders>
              <w:top w:val="nil"/>
              <w:bottom w:val="nil"/>
            </w:tcBorders>
            <w:shd w:val="clear" w:color="auto" w:fill="auto"/>
            <w:vAlign w:val="center"/>
          </w:tcPr>
          <w:p w14:paraId="7336119D"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19</w:t>
            </w:r>
          </w:p>
        </w:tc>
        <w:tc>
          <w:tcPr>
            <w:tcW w:w="1686" w:type="dxa"/>
            <w:tcBorders>
              <w:top w:val="nil"/>
              <w:bottom w:val="nil"/>
            </w:tcBorders>
            <w:shd w:val="clear" w:color="auto" w:fill="auto"/>
            <w:vAlign w:val="center"/>
          </w:tcPr>
          <w:p w14:paraId="7C4E99A2" w14:textId="22377CC2"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41.3</w:t>
            </w:r>
          </w:p>
        </w:tc>
        <w:tc>
          <w:tcPr>
            <w:tcW w:w="1817" w:type="dxa"/>
            <w:tcBorders>
              <w:top w:val="nil"/>
              <w:bottom w:val="nil"/>
            </w:tcBorders>
            <w:shd w:val="clear" w:color="auto" w:fill="auto"/>
            <w:vAlign w:val="center"/>
          </w:tcPr>
          <w:p w14:paraId="6E68E7BD" w14:textId="53B4604F"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28.0</w:t>
            </w:r>
          </w:p>
        </w:tc>
        <w:tc>
          <w:tcPr>
            <w:tcW w:w="1818" w:type="dxa"/>
            <w:tcBorders>
              <w:top w:val="nil"/>
              <w:bottom w:val="nil"/>
            </w:tcBorders>
            <w:shd w:val="clear" w:color="auto" w:fill="auto"/>
            <w:vAlign w:val="center"/>
          </w:tcPr>
          <w:p w14:paraId="498F42A8" w14:textId="6CAB93E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55.7</w:t>
            </w:r>
          </w:p>
        </w:tc>
      </w:tr>
      <w:tr w:rsidR="0033396A" w:rsidRPr="007A0B3C" w14:paraId="34770424" w14:textId="77777777" w:rsidTr="00CE2023">
        <w:trPr>
          <w:cantSplit/>
          <w:trHeight w:val="80"/>
          <w:jc w:val="center"/>
        </w:trPr>
        <w:tc>
          <w:tcPr>
            <w:tcW w:w="1580" w:type="dxa"/>
            <w:vMerge/>
            <w:tcBorders>
              <w:top w:val="nil"/>
              <w:bottom w:val="single" w:sz="4" w:space="0" w:color="auto"/>
            </w:tcBorders>
            <w:shd w:val="clear" w:color="auto" w:fill="auto"/>
            <w:vAlign w:val="center"/>
          </w:tcPr>
          <w:p w14:paraId="6278A144" w14:textId="77777777" w:rsidR="0033396A" w:rsidRPr="00251078" w:rsidRDefault="0033396A" w:rsidP="00ED2338">
            <w:pPr>
              <w:autoSpaceDE w:val="0"/>
              <w:autoSpaceDN w:val="0"/>
              <w:adjustRightInd w:val="0"/>
              <w:spacing w:after="0" w:line="240" w:lineRule="auto"/>
              <w:jc w:val="center"/>
              <w:rPr>
                <w:rFonts w:ascii="Arial" w:hAnsi="Arial" w:cs="Arial"/>
                <w:color w:val="000000" w:themeColor="text1"/>
              </w:rPr>
            </w:pPr>
          </w:p>
        </w:tc>
        <w:tc>
          <w:tcPr>
            <w:tcW w:w="1539" w:type="dxa"/>
            <w:tcBorders>
              <w:top w:val="nil"/>
              <w:bottom w:val="single" w:sz="4" w:space="0" w:color="auto"/>
            </w:tcBorders>
            <w:shd w:val="clear" w:color="auto" w:fill="auto"/>
            <w:vAlign w:val="center"/>
          </w:tcPr>
          <w:p w14:paraId="48CF8FC9" w14:textId="77777777" w:rsidR="0033396A" w:rsidRPr="00251078" w:rsidRDefault="0033396A" w:rsidP="00ED2338">
            <w:pPr>
              <w:autoSpaceDE w:val="0"/>
              <w:autoSpaceDN w:val="0"/>
              <w:adjustRightInd w:val="0"/>
              <w:spacing w:after="0" w:line="240" w:lineRule="auto"/>
              <w:ind w:left="60" w:right="60"/>
              <w:rPr>
                <w:rFonts w:ascii="Arial" w:hAnsi="Arial" w:cs="Arial"/>
                <w:color w:val="000000" w:themeColor="text1"/>
              </w:rPr>
            </w:pPr>
            <w:r w:rsidRPr="00251078">
              <w:rPr>
                <w:rFonts w:ascii="Arial" w:hAnsi="Arial" w:cs="Arial"/>
                <w:color w:val="000000" w:themeColor="text1"/>
              </w:rPr>
              <w:t>Хөдөө</w:t>
            </w:r>
          </w:p>
        </w:tc>
        <w:tc>
          <w:tcPr>
            <w:tcW w:w="958" w:type="dxa"/>
            <w:tcBorders>
              <w:top w:val="nil"/>
              <w:bottom w:val="single" w:sz="4" w:space="0" w:color="auto"/>
            </w:tcBorders>
            <w:shd w:val="clear" w:color="auto" w:fill="auto"/>
            <w:vAlign w:val="center"/>
          </w:tcPr>
          <w:p w14:paraId="5DCBE2F1" w14:textId="7777777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27</w:t>
            </w:r>
          </w:p>
        </w:tc>
        <w:tc>
          <w:tcPr>
            <w:tcW w:w="1686" w:type="dxa"/>
            <w:tcBorders>
              <w:top w:val="nil"/>
              <w:bottom w:val="single" w:sz="4" w:space="0" w:color="auto"/>
            </w:tcBorders>
            <w:shd w:val="clear" w:color="auto" w:fill="auto"/>
            <w:vAlign w:val="center"/>
          </w:tcPr>
          <w:p w14:paraId="71CE17FB" w14:textId="45B9EFA0"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58.7</w:t>
            </w:r>
          </w:p>
        </w:tc>
        <w:tc>
          <w:tcPr>
            <w:tcW w:w="1817" w:type="dxa"/>
            <w:tcBorders>
              <w:top w:val="nil"/>
              <w:bottom w:val="single" w:sz="4" w:space="0" w:color="auto"/>
            </w:tcBorders>
            <w:shd w:val="clear" w:color="auto" w:fill="auto"/>
            <w:vAlign w:val="center"/>
          </w:tcPr>
          <w:p w14:paraId="0A7AEF9F" w14:textId="49DF9F26"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44.3</w:t>
            </w:r>
          </w:p>
        </w:tc>
        <w:tc>
          <w:tcPr>
            <w:tcW w:w="1818" w:type="dxa"/>
            <w:tcBorders>
              <w:top w:val="nil"/>
              <w:bottom w:val="single" w:sz="4" w:space="0" w:color="auto"/>
            </w:tcBorders>
            <w:shd w:val="clear" w:color="auto" w:fill="auto"/>
            <w:vAlign w:val="center"/>
          </w:tcPr>
          <w:p w14:paraId="29476EEB" w14:textId="22E95697" w:rsidR="0033396A" w:rsidRPr="00251078" w:rsidRDefault="0033396A" w:rsidP="00ED2338">
            <w:pPr>
              <w:autoSpaceDE w:val="0"/>
              <w:autoSpaceDN w:val="0"/>
              <w:adjustRightInd w:val="0"/>
              <w:spacing w:after="0" w:line="240" w:lineRule="auto"/>
              <w:ind w:left="60" w:right="60"/>
              <w:jc w:val="center"/>
              <w:rPr>
                <w:rFonts w:ascii="Arial" w:hAnsi="Arial" w:cs="Arial"/>
                <w:color w:val="000000" w:themeColor="text1"/>
              </w:rPr>
            </w:pPr>
            <w:r w:rsidRPr="00251078">
              <w:rPr>
                <w:rFonts w:ascii="Arial" w:hAnsi="Arial" w:cs="Arial"/>
                <w:color w:val="000000" w:themeColor="text1"/>
              </w:rPr>
              <w:t>72.0</w:t>
            </w:r>
          </w:p>
        </w:tc>
      </w:tr>
      <w:tr w:rsidR="0033396A" w:rsidRPr="007A0B3C" w14:paraId="1E6ABCFE" w14:textId="77777777" w:rsidTr="00CE2023">
        <w:trPr>
          <w:cantSplit/>
          <w:trHeight w:val="449"/>
          <w:jc w:val="center"/>
        </w:trPr>
        <w:tc>
          <w:tcPr>
            <w:tcW w:w="1580" w:type="dxa"/>
            <w:tcBorders>
              <w:top w:val="single" w:sz="4" w:space="0" w:color="auto"/>
              <w:bottom w:val="single" w:sz="4" w:space="0" w:color="auto"/>
            </w:tcBorders>
            <w:shd w:val="clear" w:color="auto" w:fill="auto"/>
            <w:vAlign w:val="center"/>
          </w:tcPr>
          <w:p w14:paraId="54E69997" w14:textId="428B2BA8" w:rsidR="0033396A" w:rsidRPr="005711A3" w:rsidRDefault="0033396A" w:rsidP="00ED2338">
            <w:pPr>
              <w:autoSpaceDE w:val="0"/>
              <w:autoSpaceDN w:val="0"/>
              <w:adjustRightInd w:val="0"/>
              <w:spacing w:after="0" w:line="240" w:lineRule="auto"/>
              <w:rPr>
                <w:rFonts w:ascii="Arial" w:hAnsi="Arial" w:cs="Arial"/>
                <w:color w:val="000000" w:themeColor="text1"/>
              </w:rPr>
            </w:pPr>
            <w:r w:rsidRPr="00251078">
              <w:rPr>
                <w:rFonts w:ascii="Arial" w:hAnsi="Arial" w:cs="Arial"/>
                <w:color w:val="000000" w:themeColor="text1"/>
                <w:lang w:val="mn-MN"/>
              </w:rPr>
              <w:t>Нас, сараар</w:t>
            </w:r>
            <w:r w:rsidR="005711A3">
              <w:rPr>
                <w:rFonts w:ascii="Arial" w:hAnsi="Arial" w:cs="Arial"/>
                <w:color w:val="000000" w:themeColor="text1"/>
                <w:lang w:val="mn-MN"/>
              </w:rPr>
              <w:t xml:space="preserve"> </w:t>
            </w:r>
            <w:r w:rsidR="005711A3">
              <w:rPr>
                <w:rFonts w:ascii="Arial" w:hAnsi="Arial" w:cs="Arial"/>
                <w:color w:val="000000" w:themeColor="text1"/>
              </w:rPr>
              <w:t>(</w:t>
            </w:r>
            <w:r w:rsidR="005711A3">
              <w:rPr>
                <w:rFonts w:ascii="Arial" w:hAnsi="Arial" w:cs="Arial"/>
                <w:color w:val="000000" w:themeColor="text1"/>
                <w:lang w:val="mn-MN"/>
              </w:rPr>
              <w:t>Дундаж, сх</w:t>
            </w:r>
            <w:r w:rsidR="005711A3">
              <w:rPr>
                <w:rFonts w:ascii="Arial" w:hAnsi="Arial" w:cs="Arial"/>
                <w:color w:val="000000" w:themeColor="text1"/>
              </w:rPr>
              <w:t>)</w:t>
            </w:r>
          </w:p>
        </w:tc>
        <w:tc>
          <w:tcPr>
            <w:tcW w:w="1539" w:type="dxa"/>
            <w:tcBorders>
              <w:top w:val="single" w:sz="4" w:space="0" w:color="auto"/>
              <w:bottom w:val="single" w:sz="4" w:space="0" w:color="auto"/>
            </w:tcBorders>
            <w:shd w:val="clear" w:color="auto" w:fill="auto"/>
            <w:vAlign w:val="center"/>
          </w:tcPr>
          <w:p w14:paraId="2D9F1EC2" w14:textId="77777777" w:rsidR="0033396A" w:rsidRPr="00251078" w:rsidRDefault="0033396A" w:rsidP="00ED2338">
            <w:pPr>
              <w:spacing w:after="0" w:line="240" w:lineRule="auto"/>
              <w:jc w:val="center"/>
              <w:rPr>
                <w:rFonts w:ascii="Arial" w:hAnsi="Arial" w:cs="Arial"/>
                <w:color w:val="993300"/>
              </w:rPr>
            </w:pPr>
          </w:p>
        </w:tc>
        <w:tc>
          <w:tcPr>
            <w:tcW w:w="958" w:type="dxa"/>
            <w:tcBorders>
              <w:top w:val="single" w:sz="4" w:space="0" w:color="auto"/>
              <w:bottom w:val="single" w:sz="4" w:space="0" w:color="auto"/>
            </w:tcBorders>
            <w:shd w:val="clear" w:color="auto" w:fill="auto"/>
            <w:vAlign w:val="center"/>
          </w:tcPr>
          <w:p w14:paraId="4C6BB757" w14:textId="77777777" w:rsidR="0033396A" w:rsidRPr="00251078" w:rsidRDefault="0033396A" w:rsidP="00ED2338">
            <w:pPr>
              <w:spacing w:after="0" w:line="240" w:lineRule="auto"/>
              <w:jc w:val="center"/>
              <w:rPr>
                <w:rFonts w:ascii="Arial" w:hAnsi="Arial" w:cs="Arial"/>
                <w:color w:val="000000"/>
              </w:rPr>
            </w:pPr>
            <w:r w:rsidRPr="00251078">
              <w:rPr>
                <w:rFonts w:ascii="Arial" w:hAnsi="Arial" w:cs="Arial"/>
                <w:color w:val="000000"/>
              </w:rPr>
              <w:t>4.00</w:t>
            </w:r>
          </w:p>
        </w:tc>
        <w:tc>
          <w:tcPr>
            <w:tcW w:w="1686" w:type="dxa"/>
            <w:tcBorders>
              <w:top w:val="single" w:sz="4" w:space="0" w:color="auto"/>
              <w:bottom w:val="single" w:sz="4" w:space="0" w:color="auto"/>
            </w:tcBorders>
            <w:shd w:val="clear" w:color="auto" w:fill="auto"/>
            <w:vAlign w:val="center"/>
          </w:tcPr>
          <w:p w14:paraId="5B656DA7" w14:textId="77777777" w:rsidR="0033396A" w:rsidRPr="00251078" w:rsidRDefault="0033396A" w:rsidP="00ED2338">
            <w:pPr>
              <w:spacing w:after="0" w:line="240" w:lineRule="auto"/>
              <w:jc w:val="center"/>
              <w:rPr>
                <w:rFonts w:ascii="Arial" w:hAnsi="Arial" w:cs="Arial"/>
                <w:color w:val="000000"/>
                <w:lang w:val="mn-MN"/>
              </w:rPr>
            </w:pPr>
            <w:r w:rsidRPr="00251078">
              <w:rPr>
                <w:rFonts w:ascii="Arial" w:hAnsi="Arial" w:cs="Arial"/>
                <w:color w:val="000000"/>
                <w:lang w:val="mn-MN"/>
              </w:rPr>
              <w:t>20</w:t>
            </w:r>
          </w:p>
        </w:tc>
        <w:tc>
          <w:tcPr>
            <w:tcW w:w="1817" w:type="dxa"/>
            <w:tcBorders>
              <w:top w:val="single" w:sz="4" w:space="0" w:color="auto"/>
              <w:bottom w:val="single" w:sz="4" w:space="0" w:color="auto"/>
            </w:tcBorders>
            <w:shd w:val="clear" w:color="auto" w:fill="auto"/>
            <w:vAlign w:val="center"/>
          </w:tcPr>
          <w:p w14:paraId="5D2C92D5" w14:textId="77777777" w:rsidR="0033396A" w:rsidRPr="00251078" w:rsidRDefault="0033396A" w:rsidP="00ED2338">
            <w:pPr>
              <w:spacing w:after="0" w:line="240" w:lineRule="auto"/>
              <w:jc w:val="center"/>
              <w:rPr>
                <w:rFonts w:ascii="Arial" w:hAnsi="Arial" w:cs="Arial"/>
                <w:color w:val="000000"/>
                <w:lang w:val="mn-MN"/>
              </w:rPr>
            </w:pPr>
            <w:r w:rsidRPr="00251078">
              <w:rPr>
                <w:rFonts w:ascii="Arial" w:hAnsi="Arial" w:cs="Arial"/>
                <w:color w:val="000000"/>
              </w:rPr>
              <w:t>0</w:t>
            </w:r>
            <w:r w:rsidRPr="00251078">
              <w:rPr>
                <w:rFonts w:ascii="Arial" w:hAnsi="Arial" w:cs="Arial"/>
                <w:color w:val="000000"/>
                <w:lang w:val="mn-MN"/>
              </w:rPr>
              <w:t>.1</w:t>
            </w:r>
          </w:p>
        </w:tc>
        <w:tc>
          <w:tcPr>
            <w:tcW w:w="1818" w:type="dxa"/>
            <w:tcBorders>
              <w:top w:val="single" w:sz="4" w:space="0" w:color="auto"/>
              <w:bottom w:val="single" w:sz="4" w:space="0" w:color="auto"/>
            </w:tcBorders>
            <w:shd w:val="clear" w:color="auto" w:fill="auto"/>
            <w:vAlign w:val="center"/>
          </w:tcPr>
          <w:p w14:paraId="1209D630" w14:textId="77777777" w:rsidR="0033396A" w:rsidRPr="00251078" w:rsidRDefault="0033396A" w:rsidP="00ED2338">
            <w:pPr>
              <w:spacing w:after="0" w:line="240" w:lineRule="auto"/>
              <w:jc w:val="center"/>
              <w:rPr>
                <w:rFonts w:ascii="Arial" w:hAnsi="Arial" w:cs="Arial"/>
                <w:color w:val="000000"/>
              </w:rPr>
            </w:pPr>
            <w:r w:rsidRPr="00251078">
              <w:rPr>
                <w:rFonts w:ascii="Arial" w:hAnsi="Arial" w:cs="Arial"/>
                <w:color w:val="000000"/>
              </w:rPr>
              <w:t>168.0</w:t>
            </w:r>
          </w:p>
        </w:tc>
      </w:tr>
      <w:tr w:rsidR="00452900" w:rsidRPr="00452900" w14:paraId="21D71A18" w14:textId="77777777" w:rsidTr="00452900">
        <w:trPr>
          <w:cantSplit/>
          <w:trHeight w:val="425"/>
          <w:jc w:val="center"/>
        </w:trPr>
        <w:tc>
          <w:tcPr>
            <w:tcW w:w="5763" w:type="dxa"/>
            <w:gridSpan w:val="4"/>
            <w:tcBorders>
              <w:top w:val="single" w:sz="4" w:space="0" w:color="auto"/>
              <w:bottom w:val="nil"/>
            </w:tcBorders>
            <w:shd w:val="clear" w:color="auto" w:fill="auto"/>
            <w:vAlign w:val="center"/>
          </w:tcPr>
          <w:p w14:paraId="7FE10FAC" w14:textId="77777777" w:rsidR="00452900" w:rsidRPr="00452900" w:rsidRDefault="00452900" w:rsidP="00ED2338">
            <w:pPr>
              <w:spacing w:after="0" w:line="240" w:lineRule="auto"/>
              <w:rPr>
                <w:rFonts w:ascii="Arial" w:hAnsi="Arial" w:cs="Arial"/>
                <w:color w:val="000000" w:themeColor="text1"/>
                <w:lang w:val="mn-MN"/>
              </w:rPr>
            </w:pPr>
            <w:r w:rsidRPr="00452900">
              <w:rPr>
                <w:rFonts w:ascii="Arial" w:hAnsi="Arial" w:cs="Arial"/>
                <w:color w:val="000000" w:themeColor="text1"/>
                <w:lang w:val="mn-MN"/>
              </w:rPr>
              <w:t>Мэс заслын дараах харааны чадал</w:t>
            </w:r>
          </w:p>
        </w:tc>
        <w:tc>
          <w:tcPr>
            <w:tcW w:w="1817" w:type="dxa"/>
            <w:tcBorders>
              <w:top w:val="single" w:sz="4" w:space="0" w:color="auto"/>
              <w:bottom w:val="nil"/>
            </w:tcBorders>
            <w:shd w:val="clear" w:color="auto" w:fill="auto"/>
            <w:vAlign w:val="center"/>
          </w:tcPr>
          <w:p w14:paraId="78232A8C" w14:textId="77777777" w:rsidR="00452900" w:rsidRPr="00452900" w:rsidRDefault="00452900" w:rsidP="00ED2338">
            <w:pPr>
              <w:spacing w:after="0" w:line="240" w:lineRule="auto"/>
              <w:jc w:val="center"/>
              <w:rPr>
                <w:rFonts w:ascii="Arial" w:hAnsi="Arial" w:cs="Arial"/>
                <w:color w:val="000000" w:themeColor="text1"/>
                <w:lang w:val="mn-MN"/>
              </w:rPr>
            </w:pPr>
          </w:p>
        </w:tc>
        <w:tc>
          <w:tcPr>
            <w:tcW w:w="1818" w:type="dxa"/>
            <w:tcBorders>
              <w:top w:val="single" w:sz="4" w:space="0" w:color="auto"/>
              <w:bottom w:val="nil"/>
            </w:tcBorders>
            <w:shd w:val="clear" w:color="auto" w:fill="auto"/>
            <w:vAlign w:val="center"/>
          </w:tcPr>
          <w:p w14:paraId="782440CE" w14:textId="77777777" w:rsidR="00452900" w:rsidRPr="00452900" w:rsidRDefault="00452900" w:rsidP="00ED2338">
            <w:pPr>
              <w:spacing w:after="0" w:line="240" w:lineRule="auto"/>
              <w:jc w:val="center"/>
              <w:rPr>
                <w:rFonts w:ascii="Arial" w:hAnsi="Arial" w:cs="Arial"/>
                <w:color w:val="000000" w:themeColor="text1"/>
                <w:lang w:val="mn-MN"/>
              </w:rPr>
            </w:pPr>
          </w:p>
        </w:tc>
      </w:tr>
      <w:tr w:rsidR="00452900" w:rsidRPr="00452900" w14:paraId="684BE902" w14:textId="77777777" w:rsidTr="00CE2023">
        <w:trPr>
          <w:cantSplit/>
          <w:trHeight w:val="425"/>
          <w:jc w:val="center"/>
        </w:trPr>
        <w:tc>
          <w:tcPr>
            <w:tcW w:w="3119" w:type="dxa"/>
            <w:gridSpan w:val="2"/>
            <w:tcBorders>
              <w:top w:val="nil"/>
              <w:bottom w:val="nil"/>
            </w:tcBorders>
            <w:shd w:val="clear" w:color="auto" w:fill="auto"/>
            <w:vAlign w:val="center"/>
          </w:tcPr>
          <w:p w14:paraId="5410DCEA" w14:textId="77777777" w:rsidR="00452900" w:rsidRPr="00A67316" w:rsidRDefault="00452900" w:rsidP="00ED2338">
            <w:pPr>
              <w:spacing w:after="0" w:line="240" w:lineRule="auto"/>
              <w:rPr>
                <w:rFonts w:ascii="Arial" w:hAnsi="Arial" w:cs="Arial"/>
                <w:color w:val="000000" w:themeColor="text1"/>
              </w:rPr>
            </w:pPr>
            <w:r w:rsidRPr="00452900">
              <w:rPr>
                <w:rFonts w:ascii="Arial" w:hAnsi="Arial" w:cs="Arial"/>
                <w:color w:val="000000" w:themeColor="text1"/>
                <w:lang w:val="mn-MN"/>
              </w:rPr>
              <w:t xml:space="preserve">                  </w:t>
            </w:r>
            <w:r w:rsidR="00A67316">
              <w:rPr>
                <w:rFonts w:ascii="Arial" w:hAnsi="Arial" w:cs="Arial"/>
                <w:color w:val="000000" w:themeColor="text1"/>
              </w:rPr>
              <w:t>(0.1&lt;)</w:t>
            </w:r>
          </w:p>
        </w:tc>
        <w:tc>
          <w:tcPr>
            <w:tcW w:w="958" w:type="dxa"/>
            <w:tcBorders>
              <w:top w:val="nil"/>
              <w:bottom w:val="nil"/>
            </w:tcBorders>
            <w:shd w:val="clear" w:color="auto" w:fill="auto"/>
            <w:vAlign w:val="center"/>
          </w:tcPr>
          <w:p w14:paraId="25F7E0D0"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22</w:t>
            </w:r>
          </w:p>
        </w:tc>
        <w:tc>
          <w:tcPr>
            <w:tcW w:w="1686" w:type="dxa"/>
            <w:tcBorders>
              <w:top w:val="nil"/>
              <w:bottom w:val="nil"/>
            </w:tcBorders>
            <w:shd w:val="clear" w:color="auto" w:fill="auto"/>
            <w:vAlign w:val="center"/>
          </w:tcPr>
          <w:p w14:paraId="3178634E"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47.8</w:t>
            </w:r>
          </w:p>
        </w:tc>
        <w:tc>
          <w:tcPr>
            <w:tcW w:w="1817" w:type="dxa"/>
            <w:tcBorders>
              <w:top w:val="nil"/>
              <w:bottom w:val="nil"/>
            </w:tcBorders>
            <w:shd w:val="clear" w:color="auto" w:fill="auto"/>
            <w:vAlign w:val="center"/>
          </w:tcPr>
          <w:p w14:paraId="728675B5"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46.3</w:t>
            </w:r>
          </w:p>
        </w:tc>
        <w:tc>
          <w:tcPr>
            <w:tcW w:w="1818" w:type="dxa"/>
            <w:tcBorders>
              <w:top w:val="nil"/>
              <w:bottom w:val="nil"/>
            </w:tcBorders>
            <w:shd w:val="clear" w:color="auto" w:fill="auto"/>
            <w:vAlign w:val="center"/>
          </w:tcPr>
          <w:p w14:paraId="2B5EA0CF"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49.2</w:t>
            </w:r>
          </w:p>
        </w:tc>
      </w:tr>
      <w:tr w:rsidR="00452900" w:rsidRPr="00452900" w14:paraId="38D462D0" w14:textId="77777777" w:rsidTr="00CE2023">
        <w:trPr>
          <w:cantSplit/>
          <w:trHeight w:val="425"/>
          <w:jc w:val="center"/>
        </w:trPr>
        <w:tc>
          <w:tcPr>
            <w:tcW w:w="3119" w:type="dxa"/>
            <w:gridSpan w:val="2"/>
            <w:tcBorders>
              <w:top w:val="nil"/>
              <w:bottom w:val="single" w:sz="4" w:space="0" w:color="auto"/>
            </w:tcBorders>
            <w:shd w:val="clear" w:color="auto" w:fill="auto"/>
            <w:vAlign w:val="center"/>
          </w:tcPr>
          <w:p w14:paraId="4336DA54" w14:textId="77777777" w:rsidR="00452900" w:rsidRPr="00A67316" w:rsidRDefault="00452900" w:rsidP="00ED2338">
            <w:pPr>
              <w:spacing w:after="0" w:line="240" w:lineRule="auto"/>
              <w:rPr>
                <w:rFonts w:ascii="Arial" w:hAnsi="Arial" w:cs="Arial"/>
                <w:color w:val="000000" w:themeColor="text1"/>
              </w:rPr>
            </w:pPr>
            <w:r w:rsidRPr="00452900">
              <w:rPr>
                <w:rFonts w:ascii="Arial" w:hAnsi="Arial" w:cs="Arial"/>
                <w:color w:val="000000" w:themeColor="text1"/>
                <w:lang w:val="mn-MN"/>
              </w:rPr>
              <w:t xml:space="preserve">          </w:t>
            </w:r>
            <w:r w:rsidR="00A67316">
              <w:rPr>
                <w:rFonts w:ascii="Arial" w:hAnsi="Arial" w:cs="Arial"/>
                <w:color w:val="000000" w:themeColor="text1"/>
              </w:rPr>
              <w:t xml:space="preserve"> </w:t>
            </w:r>
            <w:r w:rsidR="00CE2023">
              <w:rPr>
                <w:rFonts w:ascii="Arial" w:hAnsi="Arial" w:cs="Arial"/>
                <w:color w:val="000000" w:themeColor="text1"/>
                <w:lang w:val="mn-MN"/>
              </w:rPr>
              <w:t xml:space="preserve">      </w:t>
            </w:r>
            <w:r w:rsidR="00A67316">
              <w:rPr>
                <w:rFonts w:ascii="Arial" w:hAnsi="Arial" w:cs="Arial"/>
                <w:color w:val="000000" w:themeColor="text1"/>
              </w:rPr>
              <w:t xml:space="preserve"> (&lt;0.</w:t>
            </w:r>
            <w:r w:rsidR="00CE2023">
              <w:rPr>
                <w:rFonts w:ascii="Arial" w:hAnsi="Arial" w:cs="Arial"/>
                <w:color w:val="000000" w:themeColor="text1"/>
                <w:lang w:val="mn-MN"/>
              </w:rPr>
              <w:t>0</w:t>
            </w:r>
            <w:r w:rsidR="00A67316">
              <w:rPr>
                <w:rFonts w:ascii="Arial" w:hAnsi="Arial" w:cs="Arial"/>
                <w:color w:val="000000" w:themeColor="text1"/>
              </w:rPr>
              <w:t>9)</w:t>
            </w:r>
          </w:p>
        </w:tc>
        <w:tc>
          <w:tcPr>
            <w:tcW w:w="958" w:type="dxa"/>
            <w:tcBorders>
              <w:top w:val="nil"/>
              <w:bottom w:val="single" w:sz="4" w:space="0" w:color="auto"/>
            </w:tcBorders>
            <w:shd w:val="clear" w:color="auto" w:fill="auto"/>
            <w:vAlign w:val="center"/>
          </w:tcPr>
          <w:p w14:paraId="2A6291DF"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24</w:t>
            </w:r>
          </w:p>
        </w:tc>
        <w:tc>
          <w:tcPr>
            <w:tcW w:w="1686" w:type="dxa"/>
            <w:tcBorders>
              <w:top w:val="nil"/>
              <w:bottom w:val="single" w:sz="4" w:space="0" w:color="auto"/>
            </w:tcBorders>
            <w:shd w:val="clear" w:color="auto" w:fill="auto"/>
            <w:vAlign w:val="center"/>
          </w:tcPr>
          <w:p w14:paraId="2282EB2F"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52.2</w:t>
            </w:r>
          </w:p>
        </w:tc>
        <w:tc>
          <w:tcPr>
            <w:tcW w:w="1817" w:type="dxa"/>
            <w:tcBorders>
              <w:top w:val="nil"/>
              <w:bottom w:val="single" w:sz="4" w:space="0" w:color="auto"/>
            </w:tcBorders>
            <w:shd w:val="clear" w:color="auto" w:fill="auto"/>
            <w:vAlign w:val="center"/>
          </w:tcPr>
          <w:p w14:paraId="13853561"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51.5</w:t>
            </w:r>
          </w:p>
        </w:tc>
        <w:tc>
          <w:tcPr>
            <w:tcW w:w="1818" w:type="dxa"/>
            <w:tcBorders>
              <w:top w:val="nil"/>
              <w:bottom w:val="single" w:sz="4" w:space="0" w:color="auto"/>
            </w:tcBorders>
            <w:shd w:val="clear" w:color="auto" w:fill="auto"/>
            <w:vAlign w:val="center"/>
          </w:tcPr>
          <w:p w14:paraId="785D92C4" w14:textId="77777777" w:rsidR="00452900" w:rsidRPr="00452900" w:rsidRDefault="00452900" w:rsidP="00ED2338">
            <w:pPr>
              <w:spacing w:after="0" w:line="240" w:lineRule="auto"/>
              <w:jc w:val="center"/>
              <w:rPr>
                <w:rFonts w:ascii="Arial" w:hAnsi="Arial" w:cs="Arial"/>
                <w:color w:val="000000" w:themeColor="text1"/>
                <w:lang w:val="mn-MN"/>
              </w:rPr>
            </w:pPr>
            <w:r>
              <w:rPr>
                <w:rFonts w:ascii="Arial" w:hAnsi="Arial" w:cs="Arial"/>
                <w:color w:val="000000" w:themeColor="text1"/>
                <w:lang w:val="mn-MN"/>
              </w:rPr>
              <w:t>53.5</w:t>
            </w:r>
          </w:p>
        </w:tc>
      </w:tr>
      <w:tr w:rsidR="00452900" w:rsidRPr="007A0B3C" w14:paraId="6A8208B7" w14:textId="77777777" w:rsidTr="00CE2023">
        <w:trPr>
          <w:cantSplit/>
          <w:trHeight w:val="425"/>
          <w:jc w:val="center"/>
        </w:trPr>
        <w:tc>
          <w:tcPr>
            <w:tcW w:w="3119" w:type="dxa"/>
            <w:gridSpan w:val="2"/>
            <w:tcBorders>
              <w:top w:val="single" w:sz="4" w:space="0" w:color="auto"/>
              <w:bottom w:val="single" w:sz="4" w:space="0" w:color="auto"/>
            </w:tcBorders>
            <w:shd w:val="clear" w:color="auto" w:fill="auto"/>
            <w:vAlign w:val="center"/>
          </w:tcPr>
          <w:p w14:paraId="46DF97E9" w14:textId="77777777" w:rsidR="00452900" w:rsidRPr="00251078" w:rsidRDefault="00452900" w:rsidP="00ED2338">
            <w:pPr>
              <w:spacing w:after="0" w:line="240" w:lineRule="auto"/>
              <w:rPr>
                <w:rFonts w:ascii="Arial" w:hAnsi="Arial" w:cs="Arial"/>
                <w:color w:val="993300"/>
              </w:rPr>
            </w:pPr>
            <w:r w:rsidRPr="00251078">
              <w:rPr>
                <w:rFonts w:ascii="Arial" w:hAnsi="Arial" w:cs="Arial"/>
                <w:color w:val="000000" w:themeColor="text1"/>
                <w:lang w:val="mn-MN"/>
              </w:rPr>
              <w:t>Нийт</w:t>
            </w:r>
          </w:p>
        </w:tc>
        <w:tc>
          <w:tcPr>
            <w:tcW w:w="958" w:type="dxa"/>
            <w:tcBorders>
              <w:top w:val="single" w:sz="4" w:space="0" w:color="auto"/>
              <w:bottom w:val="single" w:sz="4" w:space="0" w:color="auto"/>
            </w:tcBorders>
            <w:shd w:val="clear" w:color="auto" w:fill="auto"/>
            <w:vAlign w:val="center"/>
          </w:tcPr>
          <w:p w14:paraId="0AD39107" w14:textId="77777777" w:rsidR="00452900" w:rsidRPr="00251078" w:rsidRDefault="00452900" w:rsidP="00ED2338">
            <w:pPr>
              <w:spacing w:after="0" w:line="240" w:lineRule="auto"/>
              <w:jc w:val="center"/>
              <w:rPr>
                <w:rFonts w:ascii="Arial" w:hAnsi="Arial" w:cs="Arial"/>
                <w:color w:val="000000"/>
                <w:lang w:val="mn-MN"/>
              </w:rPr>
            </w:pPr>
            <w:r w:rsidRPr="00251078">
              <w:rPr>
                <w:rFonts w:ascii="Arial" w:hAnsi="Arial" w:cs="Arial"/>
                <w:color w:val="000000"/>
                <w:lang w:val="mn-MN"/>
              </w:rPr>
              <w:t>46</w:t>
            </w:r>
          </w:p>
        </w:tc>
        <w:tc>
          <w:tcPr>
            <w:tcW w:w="1686" w:type="dxa"/>
            <w:tcBorders>
              <w:top w:val="single" w:sz="4" w:space="0" w:color="auto"/>
              <w:bottom w:val="single" w:sz="4" w:space="0" w:color="auto"/>
            </w:tcBorders>
            <w:shd w:val="clear" w:color="auto" w:fill="auto"/>
            <w:vAlign w:val="center"/>
          </w:tcPr>
          <w:p w14:paraId="716F62AD" w14:textId="77777777" w:rsidR="00452900" w:rsidRPr="00251078" w:rsidRDefault="00452900" w:rsidP="00ED2338">
            <w:pPr>
              <w:spacing w:after="0" w:line="240" w:lineRule="auto"/>
              <w:jc w:val="center"/>
              <w:rPr>
                <w:rFonts w:ascii="Arial" w:hAnsi="Arial" w:cs="Arial"/>
                <w:color w:val="000000"/>
                <w:lang w:val="mn-MN"/>
              </w:rPr>
            </w:pPr>
            <w:r w:rsidRPr="00251078">
              <w:rPr>
                <w:rFonts w:ascii="Arial" w:hAnsi="Arial" w:cs="Arial"/>
                <w:color w:val="000000"/>
                <w:lang w:val="mn-MN"/>
              </w:rPr>
              <w:t>100.0</w:t>
            </w:r>
          </w:p>
        </w:tc>
        <w:tc>
          <w:tcPr>
            <w:tcW w:w="1817" w:type="dxa"/>
            <w:tcBorders>
              <w:top w:val="single" w:sz="4" w:space="0" w:color="auto"/>
              <w:bottom w:val="single" w:sz="4" w:space="0" w:color="auto"/>
            </w:tcBorders>
            <w:shd w:val="clear" w:color="auto" w:fill="auto"/>
            <w:vAlign w:val="center"/>
          </w:tcPr>
          <w:p w14:paraId="59297C56" w14:textId="77777777" w:rsidR="00452900" w:rsidRPr="00251078" w:rsidRDefault="00452900" w:rsidP="00ED2338">
            <w:pPr>
              <w:spacing w:after="0" w:line="240" w:lineRule="auto"/>
              <w:jc w:val="center"/>
              <w:rPr>
                <w:rFonts w:ascii="Arial" w:hAnsi="Arial" w:cs="Arial"/>
                <w:color w:val="000000"/>
                <w:lang w:val="mn-MN"/>
              </w:rPr>
            </w:pPr>
            <w:r w:rsidRPr="00251078">
              <w:rPr>
                <w:rFonts w:ascii="Arial" w:hAnsi="Arial" w:cs="Arial"/>
                <w:color w:val="000000"/>
                <w:lang w:val="mn-MN"/>
              </w:rPr>
              <w:t>-</w:t>
            </w:r>
          </w:p>
        </w:tc>
        <w:tc>
          <w:tcPr>
            <w:tcW w:w="1818" w:type="dxa"/>
            <w:tcBorders>
              <w:top w:val="single" w:sz="4" w:space="0" w:color="auto"/>
              <w:bottom w:val="single" w:sz="4" w:space="0" w:color="auto"/>
            </w:tcBorders>
            <w:shd w:val="clear" w:color="auto" w:fill="auto"/>
            <w:vAlign w:val="center"/>
          </w:tcPr>
          <w:p w14:paraId="2793C1E4" w14:textId="77777777" w:rsidR="00452900" w:rsidRPr="00251078" w:rsidRDefault="00452900" w:rsidP="00ED2338">
            <w:pPr>
              <w:spacing w:after="0" w:line="240" w:lineRule="auto"/>
              <w:jc w:val="center"/>
              <w:rPr>
                <w:rFonts w:ascii="Arial" w:hAnsi="Arial" w:cs="Arial"/>
                <w:color w:val="000000"/>
                <w:lang w:val="mn-MN"/>
              </w:rPr>
            </w:pPr>
            <w:r w:rsidRPr="00251078">
              <w:rPr>
                <w:rFonts w:ascii="Arial" w:hAnsi="Arial" w:cs="Arial"/>
                <w:color w:val="000000"/>
                <w:lang w:val="mn-MN"/>
              </w:rPr>
              <w:t>-</w:t>
            </w:r>
          </w:p>
        </w:tc>
      </w:tr>
    </w:tbl>
    <w:p w14:paraId="199539DC" w14:textId="0E7EF5A9" w:rsidR="00902C13" w:rsidRPr="005711A3" w:rsidRDefault="005711A3" w:rsidP="00ED2338">
      <w:pPr>
        <w:autoSpaceDE w:val="0"/>
        <w:autoSpaceDN w:val="0"/>
        <w:adjustRightInd w:val="0"/>
        <w:spacing w:after="0" w:line="240" w:lineRule="auto"/>
        <w:jc w:val="both"/>
        <w:rPr>
          <w:rFonts w:ascii="Arial" w:hAnsi="Arial" w:cs="Arial"/>
          <w:i/>
          <w:iCs/>
          <w:sz w:val="20"/>
          <w:szCs w:val="20"/>
          <w:lang w:val="mn-MN"/>
        </w:rPr>
      </w:pPr>
      <w:r w:rsidRPr="005711A3">
        <w:rPr>
          <w:rFonts w:ascii="Arial" w:hAnsi="Arial" w:cs="Arial"/>
          <w:i/>
          <w:iCs/>
          <w:sz w:val="20"/>
          <w:szCs w:val="20"/>
          <w:lang w:val="mn-MN"/>
        </w:rPr>
        <w:t>ИИ – Итгэх интервал</w:t>
      </w:r>
    </w:p>
    <w:p w14:paraId="23F1FFA2" w14:textId="7E7FFDF7" w:rsidR="005711A3" w:rsidRDefault="00A67316" w:rsidP="00ED2338">
      <w:pPr>
        <w:autoSpaceDE w:val="0"/>
        <w:autoSpaceDN w:val="0"/>
        <w:adjustRightInd w:val="0"/>
        <w:spacing w:after="0" w:line="240" w:lineRule="auto"/>
        <w:ind w:firstLine="720"/>
        <w:jc w:val="both"/>
        <w:rPr>
          <w:rFonts w:ascii="Arial" w:eastAsia="Times New Roman" w:hAnsi="Arial" w:cs="Arial"/>
          <w:bCs/>
          <w:color w:val="000000"/>
          <w:sz w:val="24"/>
          <w:lang w:val="mn-MN"/>
        </w:rPr>
      </w:pPr>
      <w:r>
        <w:rPr>
          <w:rFonts w:ascii="Arial" w:hAnsi="Arial" w:cs="Arial"/>
          <w:sz w:val="24"/>
          <w:szCs w:val="24"/>
          <w:lang w:val="mn-MN"/>
        </w:rPr>
        <w:t xml:space="preserve">Хоёр нүдний </w:t>
      </w:r>
      <w:r w:rsidR="009F6CB6">
        <w:rPr>
          <w:rFonts w:ascii="Arial" w:hAnsi="Arial" w:cs="Arial"/>
          <w:sz w:val="24"/>
          <w:szCs w:val="24"/>
          <w:lang w:val="mn-MN"/>
        </w:rPr>
        <w:t>болор цайх өвчин</w:t>
      </w:r>
      <w:r>
        <w:rPr>
          <w:rFonts w:ascii="Arial" w:hAnsi="Arial" w:cs="Arial"/>
          <w:sz w:val="24"/>
          <w:szCs w:val="24"/>
          <w:lang w:val="mn-MN"/>
        </w:rPr>
        <w:t xml:space="preserve"> ажиглагдаж буй нас дунджаар 2.05 </w:t>
      </w:r>
      <w:r>
        <w:rPr>
          <w:rFonts w:ascii="Arial" w:hAnsi="Arial" w:cs="Arial"/>
          <w:sz w:val="24"/>
          <w:szCs w:val="24"/>
        </w:rPr>
        <w:t>(0.03 – 11.0)</w:t>
      </w:r>
      <w:r>
        <w:rPr>
          <w:rFonts w:ascii="Arial" w:hAnsi="Arial" w:cs="Arial"/>
          <w:sz w:val="24"/>
          <w:szCs w:val="24"/>
          <w:lang w:val="mn-MN"/>
        </w:rPr>
        <w:t xml:space="preserve"> сар, мэс </w:t>
      </w:r>
      <w:r w:rsidR="0045262B">
        <w:rPr>
          <w:rFonts w:ascii="Arial" w:hAnsi="Arial" w:cs="Arial"/>
          <w:sz w:val="24"/>
          <w:szCs w:val="24"/>
          <w:lang w:val="mn-MN"/>
        </w:rPr>
        <w:t xml:space="preserve">засалд орж буй дундаж нас </w:t>
      </w:r>
      <w:r>
        <w:rPr>
          <w:rFonts w:ascii="Arial" w:hAnsi="Arial" w:cs="Arial"/>
          <w:sz w:val="24"/>
          <w:szCs w:val="24"/>
          <w:lang w:val="mn-MN"/>
        </w:rPr>
        <w:t xml:space="preserve">5 </w:t>
      </w:r>
      <w:r>
        <w:rPr>
          <w:rFonts w:ascii="Arial" w:hAnsi="Arial" w:cs="Arial"/>
          <w:sz w:val="24"/>
          <w:szCs w:val="24"/>
        </w:rPr>
        <w:t>(1</w:t>
      </w:r>
      <w:r w:rsidR="005711A3">
        <w:rPr>
          <w:rFonts w:ascii="Arial" w:hAnsi="Arial" w:cs="Arial"/>
          <w:sz w:val="24"/>
          <w:szCs w:val="24"/>
          <w:lang w:val="mn-MN"/>
        </w:rPr>
        <w:t xml:space="preserve"> </w:t>
      </w:r>
      <w:r>
        <w:rPr>
          <w:rFonts w:ascii="Arial" w:hAnsi="Arial" w:cs="Arial"/>
          <w:sz w:val="24"/>
          <w:szCs w:val="24"/>
        </w:rPr>
        <w:t>– 78)</w:t>
      </w:r>
      <w:r>
        <w:rPr>
          <w:rFonts w:ascii="Arial" w:hAnsi="Arial" w:cs="Arial"/>
          <w:sz w:val="24"/>
          <w:szCs w:val="24"/>
          <w:lang w:val="mn-MN"/>
        </w:rPr>
        <w:t xml:space="preserve"> сар байна. Мэс заслын дараах харааны чадал </w:t>
      </w:r>
      <w:r w:rsidR="00CE2023">
        <w:rPr>
          <w:rFonts w:ascii="Arial" w:hAnsi="Arial" w:cs="Arial"/>
          <w:sz w:val="24"/>
          <w:szCs w:val="24"/>
        </w:rPr>
        <w:t>&lt;0.09</w:t>
      </w:r>
      <w:r w:rsidR="00CE2023">
        <w:rPr>
          <w:rFonts w:ascii="Arial" w:hAnsi="Arial" w:cs="Arial"/>
          <w:sz w:val="24"/>
          <w:szCs w:val="24"/>
          <w:lang w:val="mn-MN"/>
        </w:rPr>
        <w:t xml:space="preserve"> ба 0.1</w:t>
      </w:r>
      <w:r w:rsidR="00CE2023">
        <w:rPr>
          <w:rFonts w:ascii="Arial" w:hAnsi="Arial" w:cs="Arial"/>
          <w:sz w:val="24"/>
          <w:szCs w:val="24"/>
        </w:rPr>
        <w:t xml:space="preserve">&lt; </w:t>
      </w:r>
      <w:r w:rsidR="00CE2023">
        <w:rPr>
          <w:rFonts w:ascii="Arial" w:hAnsi="Arial" w:cs="Arial"/>
          <w:sz w:val="24"/>
          <w:szCs w:val="24"/>
          <w:lang w:val="mn-MN"/>
        </w:rPr>
        <w:t xml:space="preserve">байх </w:t>
      </w:r>
      <w:r>
        <w:rPr>
          <w:rFonts w:ascii="Arial" w:hAnsi="Arial" w:cs="Arial"/>
          <w:sz w:val="24"/>
          <w:szCs w:val="24"/>
          <w:lang w:val="mn-MN"/>
        </w:rPr>
        <w:t xml:space="preserve">бүлгүүдэд </w:t>
      </w:r>
      <w:r w:rsidR="00902C13">
        <w:rPr>
          <w:rFonts w:ascii="Arial" w:eastAsia="Times New Roman" w:hAnsi="Arial" w:cs="Arial"/>
          <w:bCs/>
          <w:color w:val="000000"/>
          <w:sz w:val="24"/>
          <w:lang w:val="mn-MN"/>
        </w:rPr>
        <w:t>ажиглас</w:t>
      </w:r>
      <w:r w:rsidRPr="00A67316">
        <w:rPr>
          <w:rFonts w:ascii="Arial" w:eastAsia="Times New Roman" w:hAnsi="Arial" w:cs="Arial"/>
          <w:bCs/>
          <w:color w:val="000000"/>
          <w:sz w:val="24"/>
          <w:lang w:val="mn-MN"/>
        </w:rPr>
        <w:t>наас оношлогдох хүртэлх хүлээгдэл, оношлогдсоноос мэс засалд орох хүлээгдэл, нийт хүлээгдлийн хугацаа нь статистик ач холбогдол бүхий ялгаатай байна</w:t>
      </w:r>
      <w:r>
        <w:rPr>
          <w:rFonts w:ascii="Arial" w:eastAsia="Times New Roman" w:hAnsi="Arial" w:cs="Arial"/>
          <w:bCs/>
          <w:color w:val="000000"/>
          <w:sz w:val="24"/>
          <w:lang w:val="mn-MN"/>
        </w:rPr>
        <w:t xml:space="preserve"> </w:t>
      </w:r>
      <w:r>
        <w:rPr>
          <w:rFonts w:ascii="Arial" w:eastAsia="Times New Roman" w:hAnsi="Arial" w:cs="Arial"/>
          <w:bCs/>
          <w:color w:val="000000"/>
          <w:sz w:val="24"/>
        </w:rPr>
        <w:t>(p = 0.045, p = 0.031, p = 0.028)</w:t>
      </w:r>
      <w:r w:rsidRPr="00A67316">
        <w:rPr>
          <w:rFonts w:ascii="Arial" w:eastAsia="Times New Roman" w:hAnsi="Arial" w:cs="Arial"/>
          <w:bCs/>
          <w:color w:val="000000"/>
          <w:sz w:val="24"/>
          <w:lang w:val="mn-MN"/>
        </w:rPr>
        <w:t xml:space="preserve">. </w:t>
      </w:r>
      <w:r w:rsidR="0045262B">
        <w:rPr>
          <w:rFonts w:ascii="Arial" w:eastAsia="Times New Roman" w:hAnsi="Arial" w:cs="Arial"/>
          <w:bCs/>
          <w:color w:val="000000"/>
          <w:sz w:val="24"/>
          <w:lang w:val="mn-MN"/>
        </w:rPr>
        <w:t xml:space="preserve">Тухайлбал, нийт хүлээгдлийн хугацаа харааны чадал </w:t>
      </w:r>
      <w:r w:rsidR="00CE2023">
        <w:rPr>
          <w:rFonts w:ascii="Arial" w:eastAsia="Times New Roman" w:hAnsi="Arial" w:cs="Arial"/>
          <w:bCs/>
          <w:color w:val="000000"/>
          <w:sz w:val="24"/>
        </w:rPr>
        <w:t>&lt;</w:t>
      </w:r>
      <w:r w:rsidR="00CE2023">
        <w:rPr>
          <w:rFonts w:ascii="Arial" w:eastAsia="Times New Roman" w:hAnsi="Arial" w:cs="Arial"/>
          <w:bCs/>
          <w:color w:val="000000"/>
          <w:sz w:val="24"/>
          <w:lang w:val="mn-MN"/>
        </w:rPr>
        <w:t>0.09</w:t>
      </w:r>
      <w:r w:rsidR="00CE2023">
        <w:rPr>
          <w:rFonts w:ascii="Arial" w:eastAsia="Times New Roman" w:hAnsi="Arial" w:cs="Arial"/>
          <w:bCs/>
          <w:color w:val="000000"/>
          <w:sz w:val="24"/>
        </w:rPr>
        <w:t xml:space="preserve"> </w:t>
      </w:r>
      <w:r w:rsidR="00CE2023">
        <w:rPr>
          <w:rFonts w:ascii="Arial" w:eastAsia="Times New Roman" w:hAnsi="Arial" w:cs="Arial"/>
          <w:bCs/>
          <w:color w:val="000000"/>
          <w:sz w:val="24"/>
          <w:lang w:val="mn-MN"/>
        </w:rPr>
        <w:t xml:space="preserve">байх </w:t>
      </w:r>
      <w:r w:rsidR="0045262B">
        <w:rPr>
          <w:rFonts w:ascii="Arial" w:eastAsia="Times New Roman" w:hAnsi="Arial" w:cs="Arial"/>
          <w:bCs/>
          <w:color w:val="000000"/>
          <w:sz w:val="24"/>
          <w:lang w:val="mn-MN"/>
        </w:rPr>
        <w:t xml:space="preserve">бүлэгт 2.97 </w:t>
      </w:r>
      <w:r w:rsidR="0045262B">
        <w:rPr>
          <w:rFonts w:ascii="Arial" w:eastAsia="Times New Roman" w:hAnsi="Arial" w:cs="Arial"/>
          <w:bCs/>
          <w:color w:val="000000"/>
          <w:sz w:val="24"/>
        </w:rPr>
        <w:t xml:space="preserve">(0.01-17.0) </w:t>
      </w:r>
      <w:r w:rsidR="00CE2023">
        <w:rPr>
          <w:rFonts w:ascii="Arial" w:eastAsia="Times New Roman" w:hAnsi="Arial" w:cs="Arial"/>
          <w:bCs/>
          <w:color w:val="000000"/>
          <w:sz w:val="24"/>
          <w:lang w:val="mn-MN"/>
        </w:rPr>
        <w:t>сар, 0,1</w:t>
      </w:r>
      <w:r w:rsidR="00CE2023">
        <w:rPr>
          <w:rFonts w:ascii="Arial" w:eastAsia="Times New Roman" w:hAnsi="Arial" w:cs="Arial"/>
          <w:bCs/>
          <w:color w:val="000000"/>
          <w:sz w:val="24"/>
        </w:rPr>
        <w:t xml:space="preserve">&lt; </w:t>
      </w:r>
      <w:r w:rsidR="00CE2023">
        <w:rPr>
          <w:rFonts w:ascii="Arial" w:eastAsia="Times New Roman" w:hAnsi="Arial" w:cs="Arial"/>
          <w:bCs/>
          <w:color w:val="000000"/>
          <w:sz w:val="24"/>
          <w:lang w:val="mn-MN"/>
        </w:rPr>
        <w:t xml:space="preserve">байх </w:t>
      </w:r>
      <w:r w:rsidR="0045262B">
        <w:rPr>
          <w:rFonts w:ascii="Arial" w:eastAsia="Times New Roman" w:hAnsi="Arial" w:cs="Arial"/>
          <w:bCs/>
          <w:color w:val="000000"/>
          <w:sz w:val="24"/>
          <w:lang w:val="mn-MN"/>
        </w:rPr>
        <w:t xml:space="preserve"> бүлэгт 1.5 </w:t>
      </w:r>
      <w:r w:rsidR="0045262B">
        <w:rPr>
          <w:rFonts w:ascii="Arial" w:eastAsia="Times New Roman" w:hAnsi="Arial" w:cs="Arial"/>
          <w:bCs/>
          <w:color w:val="000000"/>
          <w:sz w:val="24"/>
        </w:rPr>
        <w:t xml:space="preserve">(0.10 – 21.0) </w:t>
      </w:r>
      <w:r w:rsidR="0045262B">
        <w:rPr>
          <w:rFonts w:ascii="Arial" w:eastAsia="Times New Roman" w:hAnsi="Arial" w:cs="Arial"/>
          <w:bCs/>
          <w:color w:val="000000"/>
          <w:sz w:val="24"/>
          <w:lang w:val="mn-MN"/>
        </w:rPr>
        <w:t>сар байгаа нь ач холбогдол бүхий ялгаа болж байна.</w:t>
      </w:r>
    </w:p>
    <w:p w14:paraId="0F3EF10F" w14:textId="7CB27788" w:rsidR="00ED2338" w:rsidRDefault="00ED2338" w:rsidP="00ED2338">
      <w:pPr>
        <w:autoSpaceDE w:val="0"/>
        <w:autoSpaceDN w:val="0"/>
        <w:adjustRightInd w:val="0"/>
        <w:spacing w:after="0" w:line="240" w:lineRule="auto"/>
        <w:ind w:firstLine="720"/>
        <w:jc w:val="both"/>
        <w:rPr>
          <w:rFonts w:ascii="Arial" w:eastAsia="Times New Roman" w:hAnsi="Arial" w:cs="Arial"/>
          <w:bCs/>
          <w:color w:val="000000"/>
          <w:sz w:val="24"/>
          <w:lang w:val="mn-MN"/>
        </w:rPr>
      </w:pPr>
    </w:p>
    <w:p w14:paraId="65A08741" w14:textId="5A71A35A" w:rsidR="00ED2338" w:rsidRDefault="00ED2338" w:rsidP="00ED2338">
      <w:pPr>
        <w:autoSpaceDE w:val="0"/>
        <w:autoSpaceDN w:val="0"/>
        <w:adjustRightInd w:val="0"/>
        <w:spacing w:after="0" w:line="240" w:lineRule="auto"/>
        <w:ind w:firstLine="720"/>
        <w:jc w:val="both"/>
        <w:rPr>
          <w:rFonts w:ascii="Arial" w:eastAsia="Times New Roman" w:hAnsi="Arial" w:cs="Arial"/>
          <w:bCs/>
          <w:color w:val="000000"/>
          <w:sz w:val="24"/>
          <w:lang w:val="mn-MN"/>
        </w:rPr>
      </w:pPr>
    </w:p>
    <w:p w14:paraId="54948C42" w14:textId="77777777" w:rsidR="00ED2338" w:rsidRPr="005711A3" w:rsidRDefault="00ED2338" w:rsidP="00ED2338">
      <w:pPr>
        <w:autoSpaceDE w:val="0"/>
        <w:autoSpaceDN w:val="0"/>
        <w:adjustRightInd w:val="0"/>
        <w:spacing w:after="0" w:line="240" w:lineRule="auto"/>
        <w:ind w:firstLine="720"/>
        <w:jc w:val="both"/>
        <w:rPr>
          <w:rFonts w:ascii="Arial" w:hAnsi="Arial" w:cs="Arial"/>
          <w:sz w:val="24"/>
          <w:szCs w:val="24"/>
          <w:lang w:val="mn-MN"/>
        </w:rPr>
      </w:pPr>
    </w:p>
    <w:p w14:paraId="63C5726D" w14:textId="77777777" w:rsidR="00A67316" w:rsidRPr="00A67316" w:rsidRDefault="00A67316" w:rsidP="00ED2338">
      <w:pPr>
        <w:autoSpaceDE w:val="0"/>
        <w:autoSpaceDN w:val="0"/>
        <w:adjustRightInd w:val="0"/>
        <w:spacing w:after="0" w:line="240" w:lineRule="auto"/>
        <w:rPr>
          <w:rFonts w:ascii="Arial" w:hAnsi="Arial" w:cs="Arial"/>
          <w:b/>
          <w:sz w:val="24"/>
          <w:szCs w:val="24"/>
          <w:lang w:val="mn-MN"/>
        </w:rPr>
      </w:pPr>
      <w:r w:rsidRPr="00A67316">
        <w:rPr>
          <w:rFonts w:ascii="Arial" w:hAnsi="Arial" w:cs="Arial"/>
          <w:b/>
          <w:sz w:val="24"/>
          <w:szCs w:val="24"/>
          <w:lang w:val="mn-MN"/>
        </w:rPr>
        <w:t xml:space="preserve">Хүснэгт 2. </w:t>
      </w:r>
      <w:r w:rsidR="0045262B" w:rsidRPr="0045262B">
        <w:rPr>
          <w:rFonts w:ascii="Arial" w:hAnsi="Arial" w:cs="Arial"/>
          <w:sz w:val="24"/>
          <w:szCs w:val="24"/>
          <w:lang w:val="mn-MN"/>
        </w:rPr>
        <w:t>Хүлээгдлийн хугацаа, мэс заслын дараах харааны чадал</w:t>
      </w:r>
    </w:p>
    <w:tbl>
      <w:tblPr>
        <w:tblW w:w="9271" w:type="dxa"/>
        <w:tblBorders>
          <w:top w:val="single" w:sz="4" w:space="0" w:color="auto"/>
          <w:bottom w:val="single" w:sz="4" w:space="0" w:color="auto"/>
        </w:tblBorders>
        <w:tblLook w:val="04A0" w:firstRow="1" w:lastRow="0" w:firstColumn="1" w:lastColumn="0" w:noHBand="0" w:noVBand="1"/>
      </w:tblPr>
      <w:tblGrid>
        <w:gridCol w:w="2147"/>
        <w:gridCol w:w="872"/>
        <w:gridCol w:w="709"/>
        <w:gridCol w:w="714"/>
        <w:gridCol w:w="872"/>
        <w:gridCol w:w="709"/>
        <w:gridCol w:w="716"/>
        <w:gridCol w:w="737"/>
        <w:gridCol w:w="582"/>
        <w:gridCol w:w="1213"/>
      </w:tblGrid>
      <w:tr w:rsidR="00A67316" w:rsidRPr="0045262B" w14:paraId="145932BC" w14:textId="77777777" w:rsidTr="00BA2A15">
        <w:trPr>
          <w:trHeight w:val="357"/>
        </w:trPr>
        <w:tc>
          <w:tcPr>
            <w:tcW w:w="2180" w:type="dxa"/>
            <w:vMerge w:val="restart"/>
            <w:tcBorders>
              <w:top w:val="single" w:sz="4" w:space="0" w:color="auto"/>
              <w:bottom w:val="nil"/>
            </w:tcBorders>
            <w:shd w:val="clear" w:color="auto" w:fill="auto"/>
            <w:vAlign w:val="center"/>
            <w:hideMark/>
          </w:tcPr>
          <w:p w14:paraId="28C3AC78"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Үзүүлэлт</w:t>
            </w:r>
          </w:p>
        </w:tc>
        <w:tc>
          <w:tcPr>
            <w:tcW w:w="4578" w:type="dxa"/>
            <w:gridSpan w:val="6"/>
            <w:tcBorders>
              <w:top w:val="single" w:sz="4" w:space="0" w:color="auto"/>
              <w:bottom w:val="single" w:sz="4" w:space="0" w:color="auto"/>
            </w:tcBorders>
            <w:shd w:val="clear" w:color="auto" w:fill="auto"/>
            <w:vAlign w:val="center"/>
            <w:hideMark/>
          </w:tcPr>
          <w:p w14:paraId="75BC4E8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Мэс заслын дараах харааны чадал</w:t>
            </w:r>
          </w:p>
        </w:tc>
        <w:tc>
          <w:tcPr>
            <w:tcW w:w="718" w:type="dxa"/>
            <w:vMerge w:val="restart"/>
            <w:tcBorders>
              <w:top w:val="single" w:sz="4" w:space="0" w:color="auto"/>
              <w:bottom w:val="single" w:sz="4" w:space="0" w:color="auto"/>
            </w:tcBorders>
            <w:shd w:val="clear" w:color="auto" w:fill="F2F2F2" w:themeFill="background1" w:themeFillShade="F2"/>
            <w:vAlign w:val="center"/>
            <w:hideMark/>
          </w:tcPr>
          <w:p w14:paraId="541CC60A"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Р утга</w:t>
            </w:r>
          </w:p>
        </w:tc>
        <w:tc>
          <w:tcPr>
            <w:tcW w:w="1795" w:type="dxa"/>
            <w:gridSpan w:val="2"/>
            <w:vMerge w:val="restart"/>
            <w:tcBorders>
              <w:top w:val="single" w:sz="4" w:space="0" w:color="auto"/>
              <w:bottom w:val="single" w:sz="4" w:space="0" w:color="auto"/>
            </w:tcBorders>
            <w:shd w:val="clear" w:color="auto" w:fill="auto"/>
            <w:noWrap/>
            <w:vAlign w:val="center"/>
            <w:hideMark/>
          </w:tcPr>
          <w:p w14:paraId="6EE64E5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Нийт</w:t>
            </w:r>
          </w:p>
        </w:tc>
      </w:tr>
      <w:tr w:rsidR="00BA2A15" w:rsidRPr="0045262B" w14:paraId="2AD10C26" w14:textId="77777777" w:rsidTr="00BA2A15">
        <w:trPr>
          <w:trHeight w:val="357"/>
        </w:trPr>
        <w:tc>
          <w:tcPr>
            <w:tcW w:w="2180" w:type="dxa"/>
            <w:vMerge/>
            <w:tcBorders>
              <w:top w:val="nil"/>
              <w:bottom w:val="nil"/>
            </w:tcBorders>
            <w:vAlign w:val="center"/>
            <w:hideMark/>
          </w:tcPr>
          <w:p w14:paraId="3CFC0DF8" w14:textId="77777777" w:rsidR="00A67316" w:rsidRPr="0045262B" w:rsidRDefault="00A67316" w:rsidP="00ED2338">
            <w:pPr>
              <w:spacing w:after="0" w:line="240" w:lineRule="auto"/>
              <w:rPr>
                <w:rFonts w:ascii="Arial" w:eastAsia="Times New Roman" w:hAnsi="Arial" w:cs="Arial"/>
                <w:bCs/>
                <w:color w:val="000000"/>
                <w:sz w:val="18"/>
                <w:szCs w:val="18"/>
              </w:rPr>
            </w:pPr>
          </w:p>
        </w:tc>
        <w:tc>
          <w:tcPr>
            <w:tcW w:w="2288" w:type="dxa"/>
            <w:gridSpan w:val="3"/>
            <w:tcBorders>
              <w:top w:val="single" w:sz="4" w:space="0" w:color="auto"/>
              <w:bottom w:val="single" w:sz="4" w:space="0" w:color="auto"/>
            </w:tcBorders>
            <w:shd w:val="clear" w:color="auto" w:fill="F2F2F2" w:themeFill="background1" w:themeFillShade="F2"/>
            <w:noWrap/>
            <w:vAlign w:val="center"/>
            <w:hideMark/>
          </w:tcPr>
          <w:p w14:paraId="2CB0BB5C"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&lt;0.</w:t>
            </w:r>
            <w:r w:rsidR="00CE2023">
              <w:rPr>
                <w:rFonts w:ascii="Arial" w:eastAsia="Times New Roman" w:hAnsi="Arial" w:cs="Arial"/>
                <w:bCs/>
                <w:color w:val="000000"/>
                <w:sz w:val="18"/>
                <w:szCs w:val="18"/>
                <w:lang w:val="mn-MN"/>
              </w:rPr>
              <w:t>0</w:t>
            </w:r>
            <w:r w:rsidRPr="0045262B">
              <w:rPr>
                <w:rFonts w:ascii="Arial" w:eastAsia="Times New Roman" w:hAnsi="Arial" w:cs="Arial"/>
                <w:bCs/>
                <w:color w:val="000000"/>
                <w:sz w:val="18"/>
                <w:szCs w:val="18"/>
              </w:rPr>
              <w:t>9</w:t>
            </w:r>
          </w:p>
        </w:tc>
        <w:tc>
          <w:tcPr>
            <w:tcW w:w="2289" w:type="dxa"/>
            <w:gridSpan w:val="3"/>
            <w:tcBorders>
              <w:top w:val="single" w:sz="4" w:space="0" w:color="auto"/>
              <w:bottom w:val="single" w:sz="4" w:space="0" w:color="auto"/>
            </w:tcBorders>
            <w:shd w:val="clear" w:color="auto" w:fill="auto"/>
            <w:noWrap/>
            <w:vAlign w:val="center"/>
            <w:hideMark/>
          </w:tcPr>
          <w:p w14:paraId="13109137"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0.1&lt;</w:t>
            </w:r>
          </w:p>
        </w:tc>
        <w:tc>
          <w:tcPr>
            <w:tcW w:w="718" w:type="dxa"/>
            <w:vMerge/>
            <w:tcBorders>
              <w:top w:val="nil"/>
              <w:bottom w:val="single" w:sz="4" w:space="0" w:color="auto"/>
            </w:tcBorders>
            <w:shd w:val="clear" w:color="auto" w:fill="F2F2F2" w:themeFill="background1" w:themeFillShade="F2"/>
            <w:vAlign w:val="center"/>
            <w:hideMark/>
          </w:tcPr>
          <w:p w14:paraId="7D9FA7D2" w14:textId="77777777" w:rsidR="00A67316" w:rsidRPr="0045262B" w:rsidRDefault="00A67316" w:rsidP="00ED2338">
            <w:pPr>
              <w:spacing w:after="0" w:line="240" w:lineRule="auto"/>
              <w:rPr>
                <w:rFonts w:ascii="Arial" w:eastAsia="Times New Roman" w:hAnsi="Arial" w:cs="Arial"/>
                <w:bCs/>
                <w:color w:val="000000"/>
                <w:sz w:val="18"/>
                <w:szCs w:val="18"/>
              </w:rPr>
            </w:pPr>
          </w:p>
        </w:tc>
        <w:tc>
          <w:tcPr>
            <w:tcW w:w="1795" w:type="dxa"/>
            <w:gridSpan w:val="2"/>
            <w:vMerge/>
            <w:tcBorders>
              <w:top w:val="nil"/>
              <w:bottom w:val="single" w:sz="4" w:space="0" w:color="auto"/>
            </w:tcBorders>
            <w:vAlign w:val="center"/>
            <w:hideMark/>
          </w:tcPr>
          <w:p w14:paraId="70F61002" w14:textId="77777777" w:rsidR="00A67316" w:rsidRPr="0045262B" w:rsidRDefault="00A67316" w:rsidP="00ED2338">
            <w:pPr>
              <w:spacing w:after="0" w:line="240" w:lineRule="auto"/>
              <w:rPr>
                <w:rFonts w:ascii="Arial" w:eastAsia="Times New Roman" w:hAnsi="Arial" w:cs="Arial"/>
                <w:bCs/>
                <w:color w:val="000000"/>
                <w:sz w:val="18"/>
                <w:szCs w:val="18"/>
              </w:rPr>
            </w:pPr>
          </w:p>
        </w:tc>
      </w:tr>
      <w:tr w:rsidR="0045262B" w:rsidRPr="0045262B" w14:paraId="111BFD8E" w14:textId="77777777" w:rsidTr="00BA2A15">
        <w:trPr>
          <w:trHeight w:val="357"/>
        </w:trPr>
        <w:tc>
          <w:tcPr>
            <w:tcW w:w="2180" w:type="dxa"/>
            <w:vMerge/>
            <w:tcBorders>
              <w:top w:val="nil"/>
              <w:bottom w:val="single" w:sz="4" w:space="0" w:color="auto"/>
            </w:tcBorders>
            <w:vAlign w:val="center"/>
            <w:hideMark/>
          </w:tcPr>
          <w:p w14:paraId="30CBC52E" w14:textId="77777777" w:rsidR="00A67316" w:rsidRPr="0045262B" w:rsidRDefault="00A67316" w:rsidP="00ED2338">
            <w:pPr>
              <w:spacing w:after="0" w:line="240" w:lineRule="auto"/>
              <w:rPr>
                <w:rFonts w:ascii="Arial" w:eastAsia="Times New Roman" w:hAnsi="Arial" w:cs="Arial"/>
                <w:bCs/>
                <w:color w:val="000000"/>
                <w:sz w:val="18"/>
                <w:szCs w:val="18"/>
              </w:rPr>
            </w:pPr>
          </w:p>
        </w:tc>
        <w:tc>
          <w:tcPr>
            <w:tcW w:w="865" w:type="dxa"/>
            <w:tcBorders>
              <w:top w:val="single" w:sz="4" w:space="0" w:color="auto"/>
              <w:bottom w:val="single" w:sz="4" w:space="0" w:color="auto"/>
            </w:tcBorders>
            <w:shd w:val="clear" w:color="auto" w:fill="F2F2F2" w:themeFill="background1" w:themeFillShade="F2"/>
            <w:vAlign w:val="center"/>
            <w:hideMark/>
          </w:tcPr>
          <w:p w14:paraId="1458321B"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Медиан</w:t>
            </w:r>
          </w:p>
        </w:tc>
        <w:tc>
          <w:tcPr>
            <w:tcW w:w="709" w:type="dxa"/>
            <w:tcBorders>
              <w:top w:val="single" w:sz="4" w:space="0" w:color="auto"/>
              <w:bottom w:val="single" w:sz="4" w:space="0" w:color="auto"/>
            </w:tcBorders>
            <w:shd w:val="clear" w:color="auto" w:fill="F2F2F2" w:themeFill="background1" w:themeFillShade="F2"/>
            <w:vAlign w:val="center"/>
            <w:hideMark/>
          </w:tcPr>
          <w:p w14:paraId="1686F8B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Бага</w:t>
            </w:r>
          </w:p>
        </w:tc>
        <w:tc>
          <w:tcPr>
            <w:tcW w:w="714" w:type="dxa"/>
            <w:tcBorders>
              <w:top w:val="single" w:sz="4" w:space="0" w:color="auto"/>
              <w:bottom w:val="single" w:sz="4" w:space="0" w:color="auto"/>
            </w:tcBorders>
            <w:shd w:val="clear" w:color="auto" w:fill="F2F2F2" w:themeFill="background1" w:themeFillShade="F2"/>
            <w:vAlign w:val="center"/>
            <w:hideMark/>
          </w:tcPr>
          <w:p w14:paraId="53008C8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Их</w:t>
            </w:r>
          </w:p>
        </w:tc>
        <w:tc>
          <w:tcPr>
            <w:tcW w:w="865" w:type="dxa"/>
            <w:tcBorders>
              <w:top w:val="single" w:sz="4" w:space="0" w:color="auto"/>
              <w:bottom w:val="single" w:sz="4" w:space="0" w:color="auto"/>
            </w:tcBorders>
            <w:shd w:val="clear" w:color="auto" w:fill="auto"/>
            <w:vAlign w:val="center"/>
            <w:hideMark/>
          </w:tcPr>
          <w:p w14:paraId="571CD1AA"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Медиан</w:t>
            </w:r>
          </w:p>
        </w:tc>
        <w:tc>
          <w:tcPr>
            <w:tcW w:w="709" w:type="dxa"/>
            <w:tcBorders>
              <w:top w:val="single" w:sz="4" w:space="0" w:color="auto"/>
              <w:bottom w:val="single" w:sz="4" w:space="0" w:color="auto"/>
            </w:tcBorders>
            <w:shd w:val="clear" w:color="auto" w:fill="auto"/>
            <w:vAlign w:val="center"/>
            <w:hideMark/>
          </w:tcPr>
          <w:p w14:paraId="07A45BC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Бага</w:t>
            </w:r>
          </w:p>
        </w:tc>
        <w:tc>
          <w:tcPr>
            <w:tcW w:w="715" w:type="dxa"/>
            <w:tcBorders>
              <w:top w:val="single" w:sz="4" w:space="0" w:color="auto"/>
              <w:bottom w:val="single" w:sz="4" w:space="0" w:color="auto"/>
            </w:tcBorders>
            <w:shd w:val="clear" w:color="auto" w:fill="auto"/>
            <w:vAlign w:val="center"/>
            <w:hideMark/>
          </w:tcPr>
          <w:p w14:paraId="4762704F"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Их</w:t>
            </w:r>
          </w:p>
        </w:tc>
        <w:tc>
          <w:tcPr>
            <w:tcW w:w="718" w:type="dxa"/>
            <w:vMerge/>
            <w:tcBorders>
              <w:top w:val="nil"/>
              <w:bottom w:val="single" w:sz="4" w:space="0" w:color="auto"/>
            </w:tcBorders>
            <w:shd w:val="clear" w:color="auto" w:fill="F2F2F2" w:themeFill="background1" w:themeFillShade="F2"/>
            <w:vAlign w:val="center"/>
            <w:hideMark/>
          </w:tcPr>
          <w:p w14:paraId="267B6051" w14:textId="77777777" w:rsidR="00A67316" w:rsidRPr="0045262B" w:rsidRDefault="00A67316" w:rsidP="00ED2338">
            <w:pPr>
              <w:spacing w:after="0" w:line="240" w:lineRule="auto"/>
              <w:rPr>
                <w:rFonts w:ascii="Arial" w:eastAsia="Times New Roman" w:hAnsi="Arial" w:cs="Arial"/>
                <w:bCs/>
                <w:color w:val="000000"/>
                <w:sz w:val="18"/>
                <w:szCs w:val="18"/>
              </w:rPr>
            </w:pPr>
          </w:p>
        </w:tc>
        <w:tc>
          <w:tcPr>
            <w:tcW w:w="1795" w:type="dxa"/>
            <w:gridSpan w:val="2"/>
            <w:tcBorders>
              <w:top w:val="single" w:sz="4" w:space="0" w:color="auto"/>
              <w:bottom w:val="single" w:sz="4" w:space="0" w:color="auto"/>
            </w:tcBorders>
            <w:shd w:val="clear" w:color="auto" w:fill="auto"/>
            <w:noWrap/>
            <w:vAlign w:val="center"/>
            <w:hideMark/>
          </w:tcPr>
          <w:p w14:paraId="662AC031" w14:textId="77777777" w:rsidR="00A67316" w:rsidRPr="0045262B" w:rsidRDefault="0045262B"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М</w:t>
            </w:r>
            <w:r w:rsidR="00A67316" w:rsidRPr="0045262B">
              <w:rPr>
                <w:rFonts w:ascii="Arial" w:eastAsia="Times New Roman" w:hAnsi="Arial" w:cs="Arial"/>
                <w:bCs/>
                <w:color w:val="000000"/>
                <w:sz w:val="18"/>
                <w:szCs w:val="18"/>
                <w:lang w:val="mn-MN"/>
              </w:rPr>
              <w:t>едиан</w:t>
            </w:r>
            <w:r w:rsidR="00A67316" w:rsidRPr="0045262B">
              <w:rPr>
                <w:rFonts w:ascii="Arial" w:eastAsia="Times New Roman" w:hAnsi="Arial" w:cs="Arial"/>
                <w:bCs/>
                <w:color w:val="000000"/>
                <w:sz w:val="18"/>
                <w:szCs w:val="18"/>
              </w:rPr>
              <w:t xml:space="preserve"> (бага - их)</w:t>
            </w:r>
          </w:p>
        </w:tc>
      </w:tr>
      <w:tr w:rsidR="0045262B" w:rsidRPr="0045262B" w14:paraId="55FEED80" w14:textId="77777777" w:rsidTr="00BA2A15">
        <w:trPr>
          <w:trHeight w:val="357"/>
        </w:trPr>
        <w:tc>
          <w:tcPr>
            <w:tcW w:w="2180" w:type="dxa"/>
            <w:tcBorders>
              <w:top w:val="single" w:sz="4" w:space="0" w:color="auto"/>
            </w:tcBorders>
            <w:shd w:val="clear" w:color="auto" w:fill="auto"/>
            <w:vAlign w:val="center"/>
            <w:hideMark/>
          </w:tcPr>
          <w:p w14:paraId="79DAFDAF" w14:textId="77777777"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Ажиглагдсан нас</w:t>
            </w:r>
          </w:p>
        </w:tc>
        <w:tc>
          <w:tcPr>
            <w:tcW w:w="865" w:type="dxa"/>
            <w:tcBorders>
              <w:top w:val="single" w:sz="4" w:space="0" w:color="auto"/>
            </w:tcBorders>
            <w:shd w:val="clear" w:color="auto" w:fill="F2F2F2" w:themeFill="background1" w:themeFillShade="F2"/>
            <w:noWrap/>
            <w:vAlign w:val="center"/>
            <w:hideMark/>
          </w:tcPr>
          <w:p w14:paraId="61431F41"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2.00</w:t>
            </w:r>
          </w:p>
        </w:tc>
        <w:tc>
          <w:tcPr>
            <w:tcW w:w="709" w:type="dxa"/>
            <w:tcBorders>
              <w:top w:val="single" w:sz="4" w:space="0" w:color="auto"/>
            </w:tcBorders>
            <w:shd w:val="clear" w:color="auto" w:fill="F2F2F2" w:themeFill="background1" w:themeFillShade="F2"/>
            <w:noWrap/>
            <w:vAlign w:val="center"/>
            <w:hideMark/>
          </w:tcPr>
          <w:p w14:paraId="6712E40B"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0.03</w:t>
            </w:r>
          </w:p>
        </w:tc>
        <w:tc>
          <w:tcPr>
            <w:tcW w:w="714" w:type="dxa"/>
            <w:tcBorders>
              <w:top w:val="single" w:sz="4" w:space="0" w:color="auto"/>
            </w:tcBorders>
            <w:shd w:val="clear" w:color="auto" w:fill="F2F2F2" w:themeFill="background1" w:themeFillShade="F2"/>
            <w:noWrap/>
            <w:vAlign w:val="center"/>
            <w:hideMark/>
          </w:tcPr>
          <w:p w14:paraId="5AC3554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9.00</w:t>
            </w:r>
          </w:p>
        </w:tc>
        <w:tc>
          <w:tcPr>
            <w:tcW w:w="865" w:type="dxa"/>
            <w:tcBorders>
              <w:top w:val="single" w:sz="4" w:space="0" w:color="auto"/>
            </w:tcBorders>
            <w:shd w:val="clear" w:color="auto" w:fill="auto"/>
            <w:noWrap/>
            <w:vAlign w:val="center"/>
            <w:hideMark/>
          </w:tcPr>
          <w:p w14:paraId="12AAA7F6"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2.09</w:t>
            </w:r>
          </w:p>
        </w:tc>
        <w:tc>
          <w:tcPr>
            <w:tcW w:w="709" w:type="dxa"/>
            <w:tcBorders>
              <w:top w:val="single" w:sz="4" w:space="0" w:color="auto"/>
            </w:tcBorders>
            <w:shd w:val="clear" w:color="auto" w:fill="auto"/>
            <w:noWrap/>
            <w:vAlign w:val="center"/>
            <w:hideMark/>
          </w:tcPr>
          <w:p w14:paraId="37FA39D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0.03</w:t>
            </w:r>
          </w:p>
        </w:tc>
        <w:tc>
          <w:tcPr>
            <w:tcW w:w="715" w:type="dxa"/>
            <w:tcBorders>
              <w:top w:val="single" w:sz="4" w:space="0" w:color="auto"/>
            </w:tcBorders>
            <w:shd w:val="clear" w:color="auto" w:fill="auto"/>
            <w:noWrap/>
            <w:vAlign w:val="center"/>
            <w:hideMark/>
          </w:tcPr>
          <w:p w14:paraId="158902A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11.00</w:t>
            </w:r>
          </w:p>
        </w:tc>
        <w:tc>
          <w:tcPr>
            <w:tcW w:w="718" w:type="dxa"/>
            <w:tcBorders>
              <w:top w:val="single" w:sz="4" w:space="0" w:color="auto"/>
            </w:tcBorders>
            <w:shd w:val="clear" w:color="auto" w:fill="F2F2F2" w:themeFill="background1" w:themeFillShade="F2"/>
            <w:noWrap/>
            <w:vAlign w:val="center"/>
            <w:hideMark/>
          </w:tcPr>
          <w:p w14:paraId="4436D66B"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0.56</w:t>
            </w:r>
          </w:p>
        </w:tc>
        <w:tc>
          <w:tcPr>
            <w:tcW w:w="582" w:type="dxa"/>
            <w:tcBorders>
              <w:top w:val="single" w:sz="4" w:space="0" w:color="auto"/>
            </w:tcBorders>
            <w:shd w:val="clear" w:color="auto" w:fill="auto"/>
            <w:noWrap/>
            <w:vAlign w:val="center"/>
            <w:hideMark/>
          </w:tcPr>
          <w:p w14:paraId="06CCB15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2.05</w:t>
            </w:r>
          </w:p>
        </w:tc>
        <w:tc>
          <w:tcPr>
            <w:tcW w:w="1212" w:type="dxa"/>
            <w:tcBorders>
              <w:top w:val="single" w:sz="4" w:space="0" w:color="auto"/>
            </w:tcBorders>
            <w:shd w:val="clear" w:color="auto" w:fill="auto"/>
            <w:noWrap/>
            <w:vAlign w:val="center"/>
            <w:hideMark/>
          </w:tcPr>
          <w:p w14:paraId="75BC5B1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0.03 - 11.0</w:t>
            </w:r>
          </w:p>
        </w:tc>
      </w:tr>
      <w:tr w:rsidR="0045262B" w:rsidRPr="0045262B" w14:paraId="5454E81A" w14:textId="77777777" w:rsidTr="00BA2A15">
        <w:trPr>
          <w:trHeight w:val="357"/>
        </w:trPr>
        <w:tc>
          <w:tcPr>
            <w:tcW w:w="2180" w:type="dxa"/>
            <w:shd w:val="clear" w:color="auto" w:fill="auto"/>
            <w:vAlign w:val="center"/>
            <w:hideMark/>
          </w:tcPr>
          <w:p w14:paraId="2FEA1C3F" w14:textId="77777777"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Оношлогдсон нас</w:t>
            </w:r>
          </w:p>
        </w:tc>
        <w:tc>
          <w:tcPr>
            <w:tcW w:w="865" w:type="dxa"/>
            <w:shd w:val="clear" w:color="auto" w:fill="F2F2F2" w:themeFill="background1" w:themeFillShade="F2"/>
            <w:noWrap/>
            <w:vAlign w:val="center"/>
            <w:hideMark/>
          </w:tcPr>
          <w:p w14:paraId="434A611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2.27</w:t>
            </w:r>
          </w:p>
        </w:tc>
        <w:tc>
          <w:tcPr>
            <w:tcW w:w="709" w:type="dxa"/>
            <w:shd w:val="clear" w:color="auto" w:fill="F2F2F2" w:themeFill="background1" w:themeFillShade="F2"/>
            <w:noWrap/>
            <w:vAlign w:val="center"/>
            <w:hideMark/>
          </w:tcPr>
          <w:p w14:paraId="177AD49F"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0.03</w:t>
            </w:r>
          </w:p>
        </w:tc>
        <w:tc>
          <w:tcPr>
            <w:tcW w:w="714" w:type="dxa"/>
            <w:shd w:val="clear" w:color="auto" w:fill="F2F2F2" w:themeFill="background1" w:themeFillShade="F2"/>
            <w:noWrap/>
            <w:vAlign w:val="center"/>
            <w:hideMark/>
          </w:tcPr>
          <w:p w14:paraId="5E3B8C8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12.00</w:t>
            </w:r>
          </w:p>
        </w:tc>
        <w:tc>
          <w:tcPr>
            <w:tcW w:w="865" w:type="dxa"/>
            <w:shd w:val="clear" w:color="auto" w:fill="auto"/>
            <w:noWrap/>
            <w:vAlign w:val="center"/>
            <w:hideMark/>
          </w:tcPr>
          <w:p w14:paraId="2D8A52A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2.09</w:t>
            </w:r>
          </w:p>
        </w:tc>
        <w:tc>
          <w:tcPr>
            <w:tcW w:w="709" w:type="dxa"/>
            <w:shd w:val="clear" w:color="auto" w:fill="auto"/>
            <w:noWrap/>
            <w:vAlign w:val="center"/>
            <w:hideMark/>
          </w:tcPr>
          <w:p w14:paraId="2E90F0E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0.10</w:t>
            </w:r>
          </w:p>
        </w:tc>
        <w:tc>
          <w:tcPr>
            <w:tcW w:w="715" w:type="dxa"/>
            <w:shd w:val="clear" w:color="auto" w:fill="auto"/>
            <w:noWrap/>
            <w:vAlign w:val="center"/>
            <w:hideMark/>
          </w:tcPr>
          <w:p w14:paraId="0976EF3E"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12.00</w:t>
            </w:r>
          </w:p>
        </w:tc>
        <w:tc>
          <w:tcPr>
            <w:tcW w:w="718" w:type="dxa"/>
            <w:shd w:val="clear" w:color="auto" w:fill="F2F2F2" w:themeFill="background1" w:themeFillShade="F2"/>
            <w:noWrap/>
            <w:vAlign w:val="center"/>
            <w:hideMark/>
          </w:tcPr>
          <w:p w14:paraId="32C4D3C6"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0.13</w:t>
            </w:r>
          </w:p>
        </w:tc>
        <w:tc>
          <w:tcPr>
            <w:tcW w:w="582" w:type="dxa"/>
            <w:shd w:val="clear" w:color="auto" w:fill="auto"/>
            <w:noWrap/>
            <w:vAlign w:val="center"/>
            <w:hideMark/>
          </w:tcPr>
          <w:p w14:paraId="43FD19E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2.18</w:t>
            </w:r>
          </w:p>
        </w:tc>
        <w:tc>
          <w:tcPr>
            <w:tcW w:w="1212" w:type="dxa"/>
            <w:shd w:val="clear" w:color="auto" w:fill="auto"/>
            <w:noWrap/>
            <w:vAlign w:val="center"/>
            <w:hideMark/>
          </w:tcPr>
          <w:p w14:paraId="5FD6F3D4"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0.01 - 12.0</w:t>
            </w:r>
          </w:p>
        </w:tc>
      </w:tr>
      <w:tr w:rsidR="0045262B" w:rsidRPr="0045262B" w14:paraId="3AD3BE1C" w14:textId="77777777" w:rsidTr="00BA2A15">
        <w:trPr>
          <w:trHeight w:val="217"/>
        </w:trPr>
        <w:tc>
          <w:tcPr>
            <w:tcW w:w="2180" w:type="dxa"/>
            <w:shd w:val="clear" w:color="auto" w:fill="auto"/>
            <w:vAlign w:val="center"/>
            <w:hideMark/>
          </w:tcPr>
          <w:p w14:paraId="58591059" w14:textId="77777777"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Мэс засалд орсон нас</w:t>
            </w:r>
          </w:p>
        </w:tc>
        <w:tc>
          <w:tcPr>
            <w:tcW w:w="865" w:type="dxa"/>
            <w:shd w:val="clear" w:color="auto" w:fill="F2F2F2" w:themeFill="background1" w:themeFillShade="F2"/>
            <w:noWrap/>
            <w:vAlign w:val="center"/>
            <w:hideMark/>
          </w:tcPr>
          <w:p w14:paraId="6BD51D8A" w14:textId="77777777" w:rsidR="00A67316" w:rsidRPr="0045262B" w:rsidRDefault="0045262B" w:rsidP="00ED2338">
            <w:pPr>
              <w:spacing w:after="0" w:line="240" w:lineRule="auto"/>
              <w:jc w:val="center"/>
              <w:rPr>
                <w:rFonts w:ascii="Arial" w:eastAsia="Times New Roman" w:hAnsi="Arial" w:cs="Arial"/>
                <w:bCs/>
                <w:color w:val="000000"/>
                <w:sz w:val="18"/>
                <w:szCs w:val="18"/>
              </w:rPr>
            </w:pPr>
            <w:r>
              <w:rPr>
                <w:rFonts w:ascii="Arial" w:eastAsia="Times New Roman" w:hAnsi="Arial" w:cs="Arial"/>
                <w:bCs/>
                <w:color w:val="000000"/>
                <w:sz w:val="18"/>
                <w:szCs w:val="18"/>
                <w:lang w:val="mn-MN"/>
              </w:rPr>
              <w:t>6</w:t>
            </w:r>
            <w:r w:rsidR="00A67316" w:rsidRPr="0045262B">
              <w:rPr>
                <w:rFonts w:ascii="Arial" w:eastAsia="Times New Roman" w:hAnsi="Arial" w:cs="Arial"/>
                <w:bCs/>
                <w:color w:val="000000"/>
                <w:sz w:val="18"/>
                <w:szCs w:val="18"/>
              </w:rPr>
              <w:t>.00</w:t>
            </w:r>
          </w:p>
        </w:tc>
        <w:tc>
          <w:tcPr>
            <w:tcW w:w="709" w:type="dxa"/>
            <w:shd w:val="clear" w:color="auto" w:fill="F2F2F2" w:themeFill="background1" w:themeFillShade="F2"/>
            <w:noWrap/>
            <w:vAlign w:val="center"/>
            <w:hideMark/>
          </w:tcPr>
          <w:p w14:paraId="69DB36F5"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2.00</w:t>
            </w:r>
          </w:p>
        </w:tc>
        <w:tc>
          <w:tcPr>
            <w:tcW w:w="714" w:type="dxa"/>
            <w:shd w:val="clear" w:color="auto" w:fill="F2F2F2" w:themeFill="background1" w:themeFillShade="F2"/>
            <w:noWrap/>
            <w:vAlign w:val="center"/>
            <w:hideMark/>
          </w:tcPr>
          <w:p w14:paraId="19D850B7"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36.00</w:t>
            </w:r>
          </w:p>
        </w:tc>
        <w:tc>
          <w:tcPr>
            <w:tcW w:w="865" w:type="dxa"/>
            <w:shd w:val="clear" w:color="auto" w:fill="auto"/>
            <w:noWrap/>
            <w:vAlign w:val="center"/>
            <w:hideMark/>
          </w:tcPr>
          <w:p w14:paraId="1A9D2BB0" w14:textId="77777777" w:rsidR="00A67316" w:rsidRPr="0045262B" w:rsidRDefault="0045262B" w:rsidP="00ED2338">
            <w:pPr>
              <w:spacing w:after="0" w:line="240" w:lineRule="auto"/>
              <w:jc w:val="center"/>
              <w:rPr>
                <w:rFonts w:ascii="Arial" w:eastAsia="Times New Roman" w:hAnsi="Arial" w:cs="Arial"/>
                <w:bCs/>
                <w:color w:val="000000"/>
                <w:sz w:val="18"/>
                <w:szCs w:val="18"/>
              </w:rPr>
            </w:pPr>
            <w:r>
              <w:rPr>
                <w:rFonts w:ascii="Arial" w:eastAsia="Times New Roman" w:hAnsi="Arial" w:cs="Arial"/>
                <w:bCs/>
                <w:color w:val="000000"/>
                <w:sz w:val="18"/>
                <w:szCs w:val="18"/>
              </w:rPr>
              <w:t>4</w:t>
            </w:r>
            <w:r w:rsidR="00A67316" w:rsidRPr="0045262B">
              <w:rPr>
                <w:rFonts w:ascii="Arial" w:eastAsia="Times New Roman" w:hAnsi="Arial" w:cs="Arial"/>
                <w:bCs/>
                <w:color w:val="000000"/>
                <w:sz w:val="18"/>
                <w:szCs w:val="18"/>
              </w:rPr>
              <w:t>.00</w:t>
            </w:r>
          </w:p>
        </w:tc>
        <w:tc>
          <w:tcPr>
            <w:tcW w:w="709" w:type="dxa"/>
            <w:shd w:val="clear" w:color="auto" w:fill="auto"/>
            <w:noWrap/>
            <w:vAlign w:val="center"/>
            <w:hideMark/>
          </w:tcPr>
          <w:p w14:paraId="1AA1C30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1.00</w:t>
            </w:r>
          </w:p>
        </w:tc>
        <w:tc>
          <w:tcPr>
            <w:tcW w:w="715" w:type="dxa"/>
            <w:shd w:val="clear" w:color="auto" w:fill="auto"/>
            <w:noWrap/>
            <w:vAlign w:val="center"/>
            <w:hideMark/>
          </w:tcPr>
          <w:p w14:paraId="4AC48178"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78.00</w:t>
            </w:r>
          </w:p>
        </w:tc>
        <w:tc>
          <w:tcPr>
            <w:tcW w:w="718" w:type="dxa"/>
            <w:shd w:val="clear" w:color="auto" w:fill="F2F2F2" w:themeFill="background1" w:themeFillShade="F2"/>
            <w:noWrap/>
            <w:vAlign w:val="center"/>
            <w:hideMark/>
          </w:tcPr>
          <w:p w14:paraId="6FA7B7D3" w14:textId="77777777" w:rsidR="00A67316" w:rsidRPr="0045262B" w:rsidRDefault="0045262B" w:rsidP="00ED2338">
            <w:pPr>
              <w:spacing w:after="0" w:line="240" w:lineRule="auto"/>
              <w:jc w:val="center"/>
              <w:rPr>
                <w:rFonts w:ascii="Arial" w:eastAsia="Times New Roman" w:hAnsi="Arial" w:cs="Arial"/>
                <w:bCs/>
                <w:color w:val="000000"/>
                <w:sz w:val="18"/>
                <w:szCs w:val="18"/>
              </w:rPr>
            </w:pPr>
            <w:r>
              <w:rPr>
                <w:rFonts w:ascii="Arial" w:eastAsia="Times New Roman" w:hAnsi="Arial" w:cs="Arial"/>
                <w:bCs/>
                <w:color w:val="000000"/>
                <w:sz w:val="18"/>
                <w:szCs w:val="18"/>
              </w:rPr>
              <w:t>0.039*</w:t>
            </w:r>
          </w:p>
        </w:tc>
        <w:tc>
          <w:tcPr>
            <w:tcW w:w="582" w:type="dxa"/>
            <w:shd w:val="clear" w:color="auto" w:fill="auto"/>
            <w:noWrap/>
            <w:vAlign w:val="center"/>
            <w:hideMark/>
          </w:tcPr>
          <w:p w14:paraId="104414B0" w14:textId="77777777" w:rsidR="00A67316" w:rsidRPr="0045262B" w:rsidRDefault="0045262B" w:rsidP="00ED2338">
            <w:pPr>
              <w:spacing w:after="0" w:line="240" w:lineRule="auto"/>
              <w:jc w:val="center"/>
              <w:rPr>
                <w:rFonts w:ascii="Arial" w:eastAsia="Times New Roman" w:hAnsi="Arial" w:cs="Arial"/>
                <w:bCs/>
                <w:color w:val="000000"/>
                <w:sz w:val="18"/>
                <w:szCs w:val="18"/>
                <w:lang w:val="mn-MN"/>
              </w:rPr>
            </w:pPr>
            <w:r>
              <w:rPr>
                <w:rFonts w:ascii="Arial" w:eastAsia="Times New Roman" w:hAnsi="Arial" w:cs="Arial"/>
                <w:bCs/>
                <w:color w:val="000000"/>
                <w:sz w:val="18"/>
                <w:szCs w:val="18"/>
              </w:rPr>
              <w:t>5</w:t>
            </w:r>
            <w:r w:rsidR="00A67316" w:rsidRPr="0045262B">
              <w:rPr>
                <w:rFonts w:ascii="Arial" w:eastAsia="Times New Roman" w:hAnsi="Arial" w:cs="Arial"/>
                <w:bCs/>
                <w:color w:val="000000"/>
                <w:sz w:val="18"/>
                <w:szCs w:val="18"/>
              </w:rPr>
              <w:t>.</w:t>
            </w:r>
            <w:r>
              <w:rPr>
                <w:rFonts w:ascii="Arial" w:eastAsia="Times New Roman" w:hAnsi="Arial" w:cs="Arial"/>
                <w:bCs/>
                <w:color w:val="000000"/>
                <w:sz w:val="18"/>
                <w:szCs w:val="18"/>
                <w:lang w:val="mn-MN"/>
              </w:rPr>
              <w:t>0</w:t>
            </w:r>
            <w:r w:rsidR="00A67316" w:rsidRPr="0045262B">
              <w:rPr>
                <w:rFonts w:ascii="Arial" w:eastAsia="Times New Roman" w:hAnsi="Arial" w:cs="Arial"/>
                <w:bCs/>
                <w:color w:val="000000"/>
                <w:sz w:val="18"/>
                <w:szCs w:val="18"/>
                <w:lang w:val="mn-MN"/>
              </w:rPr>
              <w:t>0</w:t>
            </w:r>
          </w:p>
        </w:tc>
        <w:tc>
          <w:tcPr>
            <w:tcW w:w="1212" w:type="dxa"/>
            <w:shd w:val="clear" w:color="auto" w:fill="auto"/>
            <w:noWrap/>
            <w:vAlign w:val="center"/>
            <w:hideMark/>
          </w:tcPr>
          <w:p w14:paraId="1EDA614E"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1.0 - 78.0</w:t>
            </w:r>
          </w:p>
        </w:tc>
      </w:tr>
      <w:tr w:rsidR="0045262B" w:rsidRPr="0045262B" w14:paraId="51038EBD" w14:textId="77777777" w:rsidTr="00BA2A15">
        <w:trPr>
          <w:trHeight w:val="807"/>
        </w:trPr>
        <w:tc>
          <w:tcPr>
            <w:tcW w:w="2180" w:type="dxa"/>
            <w:shd w:val="clear" w:color="auto" w:fill="auto"/>
            <w:vAlign w:val="center"/>
            <w:hideMark/>
          </w:tcPr>
          <w:p w14:paraId="68310AAA" w14:textId="77777777"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Ажигласанаас оношлогдох хүртэлх хүлээгдэл (сараар)</w:t>
            </w:r>
          </w:p>
        </w:tc>
        <w:tc>
          <w:tcPr>
            <w:tcW w:w="865" w:type="dxa"/>
            <w:shd w:val="clear" w:color="auto" w:fill="F2F2F2" w:themeFill="background1" w:themeFillShade="F2"/>
            <w:noWrap/>
            <w:vAlign w:val="center"/>
            <w:hideMark/>
          </w:tcPr>
          <w:p w14:paraId="3C731B70"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0.75</w:t>
            </w:r>
          </w:p>
        </w:tc>
        <w:tc>
          <w:tcPr>
            <w:tcW w:w="709" w:type="dxa"/>
            <w:shd w:val="clear" w:color="auto" w:fill="F2F2F2" w:themeFill="background1" w:themeFillShade="F2"/>
            <w:noWrap/>
            <w:vAlign w:val="center"/>
            <w:hideMark/>
          </w:tcPr>
          <w:p w14:paraId="26F05EF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w:t>
            </w:r>
          </w:p>
        </w:tc>
        <w:tc>
          <w:tcPr>
            <w:tcW w:w="714" w:type="dxa"/>
            <w:shd w:val="clear" w:color="auto" w:fill="F2F2F2" w:themeFill="background1" w:themeFillShade="F2"/>
            <w:noWrap/>
            <w:vAlign w:val="center"/>
            <w:hideMark/>
          </w:tcPr>
          <w:p w14:paraId="6E7739C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3.93</w:t>
            </w:r>
          </w:p>
        </w:tc>
        <w:tc>
          <w:tcPr>
            <w:tcW w:w="865" w:type="dxa"/>
            <w:shd w:val="clear" w:color="auto" w:fill="auto"/>
            <w:noWrap/>
            <w:vAlign w:val="center"/>
            <w:hideMark/>
          </w:tcPr>
          <w:p w14:paraId="6EF0C5FC"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0.61</w:t>
            </w:r>
          </w:p>
        </w:tc>
        <w:tc>
          <w:tcPr>
            <w:tcW w:w="709" w:type="dxa"/>
            <w:shd w:val="clear" w:color="auto" w:fill="auto"/>
            <w:noWrap/>
            <w:vAlign w:val="center"/>
            <w:hideMark/>
          </w:tcPr>
          <w:p w14:paraId="25E83907"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w:t>
            </w:r>
          </w:p>
        </w:tc>
        <w:tc>
          <w:tcPr>
            <w:tcW w:w="715" w:type="dxa"/>
            <w:shd w:val="clear" w:color="auto" w:fill="auto"/>
            <w:noWrap/>
            <w:vAlign w:val="center"/>
            <w:hideMark/>
          </w:tcPr>
          <w:p w14:paraId="58E08B5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2.80</w:t>
            </w:r>
          </w:p>
        </w:tc>
        <w:tc>
          <w:tcPr>
            <w:tcW w:w="718" w:type="dxa"/>
            <w:shd w:val="clear" w:color="auto" w:fill="F2F2F2" w:themeFill="background1" w:themeFillShade="F2"/>
            <w:noWrap/>
            <w:vAlign w:val="center"/>
            <w:hideMark/>
          </w:tcPr>
          <w:p w14:paraId="394EABF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0.045*</w:t>
            </w:r>
          </w:p>
        </w:tc>
        <w:tc>
          <w:tcPr>
            <w:tcW w:w="582" w:type="dxa"/>
            <w:shd w:val="clear" w:color="auto" w:fill="auto"/>
            <w:noWrap/>
            <w:vAlign w:val="center"/>
            <w:hideMark/>
          </w:tcPr>
          <w:p w14:paraId="1A276238"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0.68</w:t>
            </w:r>
          </w:p>
        </w:tc>
        <w:tc>
          <w:tcPr>
            <w:tcW w:w="1212" w:type="dxa"/>
            <w:shd w:val="clear" w:color="auto" w:fill="auto"/>
            <w:noWrap/>
            <w:vAlign w:val="center"/>
            <w:hideMark/>
          </w:tcPr>
          <w:p w14:paraId="73EFC91F"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0.01 - 3.93</w:t>
            </w:r>
          </w:p>
        </w:tc>
      </w:tr>
      <w:tr w:rsidR="0045262B" w:rsidRPr="0045262B" w14:paraId="1FB72D2B" w14:textId="77777777" w:rsidTr="00BA2A15">
        <w:trPr>
          <w:trHeight w:val="454"/>
        </w:trPr>
        <w:tc>
          <w:tcPr>
            <w:tcW w:w="2180" w:type="dxa"/>
            <w:shd w:val="clear" w:color="auto" w:fill="auto"/>
            <w:vAlign w:val="center"/>
            <w:hideMark/>
          </w:tcPr>
          <w:p w14:paraId="1087D8D5" w14:textId="77777777"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Оношлогдсоноос мэс засалд орох хүлээгдэл (сар)</w:t>
            </w:r>
          </w:p>
        </w:tc>
        <w:tc>
          <w:tcPr>
            <w:tcW w:w="865" w:type="dxa"/>
            <w:shd w:val="clear" w:color="auto" w:fill="F2F2F2" w:themeFill="background1" w:themeFillShade="F2"/>
            <w:noWrap/>
            <w:vAlign w:val="center"/>
            <w:hideMark/>
          </w:tcPr>
          <w:p w14:paraId="469613A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2.49</w:t>
            </w:r>
          </w:p>
        </w:tc>
        <w:tc>
          <w:tcPr>
            <w:tcW w:w="709" w:type="dxa"/>
            <w:shd w:val="clear" w:color="auto" w:fill="F2F2F2" w:themeFill="background1" w:themeFillShade="F2"/>
            <w:noWrap/>
            <w:vAlign w:val="center"/>
            <w:hideMark/>
          </w:tcPr>
          <w:p w14:paraId="067C06CC"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w:t>
            </w:r>
          </w:p>
        </w:tc>
        <w:tc>
          <w:tcPr>
            <w:tcW w:w="714" w:type="dxa"/>
            <w:shd w:val="clear" w:color="auto" w:fill="F2F2F2" w:themeFill="background1" w:themeFillShade="F2"/>
            <w:noWrap/>
            <w:vAlign w:val="center"/>
            <w:hideMark/>
          </w:tcPr>
          <w:p w14:paraId="5F1D6486"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24.00</w:t>
            </w:r>
          </w:p>
        </w:tc>
        <w:tc>
          <w:tcPr>
            <w:tcW w:w="865" w:type="dxa"/>
            <w:shd w:val="clear" w:color="auto" w:fill="auto"/>
            <w:noWrap/>
            <w:vAlign w:val="center"/>
            <w:hideMark/>
          </w:tcPr>
          <w:p w14:paraId="05A64D2A"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1.72</w:t>
            </w:r>
          </w:p>
        </w:tc>
        <w:tc>
          <w:tcPr>
            <w:tcW w:w="709" w:type="dxa"/>
            <w:shd w:val="clear" w:color="auto" w:fill="auto"/>
            <w:noWrap/>
            <w:vAlign w:val="center"/>
            <w:hideMark/>
          </w:tcPr>
          <w:p w14:paraId="57EAE79F"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0.10</w:t>
            </w:r>
          </w:p>
        </w:tc>
        <w:tc>
          <w:tcPr>
            <w:tcW w:w="715" w:type="dxa"/>
            <w:shd w:val="clear" w:color="auto" w:fill="auto"/>
            <w:noWrap/>
            <w:vAlign w:val="center"/>
            <w:hideMark/>
          </w:tcPr>
          <w:p w14:paraId="69C4B4C6"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66.00</w:t>
            </w:r>
          </w:p>
        </w:tc>
        <w:tc>
          <w:tcPr>
            <w:tcW w:w="718" w:type="dxa"/>
            <w:shd w:val="clear" w:color="auto" w:fill="F2F2F2" w:themeFill="background1" w:themeFillShade="F2"/>
            <w:noWrap/>
            <w:vAlign w:val="center"/>
            <w:hideMark/>
          </w:tcPr>
          <w:p w14:paraId="3A57ECFE"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0.031*</w:t>
            </w:r>
          </w:p>
        </w:tc>
        <w:tc>
          <w:tcPr>
            <w:tcW w:w="582" w:type="dxa"/>
            <w:shd w:val="clear" w:color="auto" w:fill="auto"/>
            <w:noWrap/>
            <w:vAlign w:val="center"/>
            <w:hideMark/>
          </w:tcPr>
          <w:p w14:paraId="5A2B96A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2.10</w:t>
            </w:r>
          </w:p>
        </w:tc>
        <w:tc>
          <w:tcPr>
            <w:tcW w:w="1212" w:type="dxa"/>
            <w:shd w:val="clear" w:color="auto" w:fill="auto"/>
            <w:noWrap/>
            <w:vAlign w:val="center"/>
            <w:hideMark/>
          </w:tcPr>
          <w:p w14:paraId="554052D9"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0.01 - 66.0</w:t>
            </w:r>
          </w:p>
        </w:tc>
      </w:tr>
      <w:tr w:rsidR="0045262B" w:rsidRPr="0045262B" w14:paraId="67D636AA" w14:textId="77777777" w:rsidTr="00BA2A15">
        <w:trPr>
          <w:trHeight w:val="357"/>
        </w:trPr>
        <w:tc>
          <w:tcPr>
            <w:tcW w:w="2180" w:type="dxa"/>
            <w:shd w:val="clear" w:color="auto" w:fill="auto"/>
            <w:vAlign w:val="center"/>
            <w:hideMark/>
          </w:tcPr>
          <w:p w14:paraId="514C9865" w14:textId="19330251" w:rsidR="00A67316" w:rsidRPr="0045262B" w:rsidRDefault="00A67316" w:rsidP="00ED2338">
            <w:pPr>
              <w:spacing w:after="0" w:line="240" w:lineRule="auto"/>
              <w:rPr>
                <w:rFonts w:ascii="Arial" w:eastAsia="Times New Roman" w:hAnsi="Arial" w:cs="Arial"/>
                <w:bCs/>
                <w:color w:val="000000"/>
                <w:sz w:val="18"/>
                <w:szCs w:val="18"/>
              </w:rPr>
            </w:pPr>
            <w:r w:rsidRPr="0045262B">
              <w:rPr>
                <w:rFonts w:ascii="Arial" w:eastAsia="Times New Roman" w:hAnsi="Arial" w:cs="Arial"/>
                <w:bCs/>
                <w:color w:val="000000"/>
                <w:sz w:val="18"/>
                <w:szCs w:val="18"/>
                <w:lang w:val="mn-MN"/>
              </w:rPr>
              <w:t>Нийт хүлээгдлийн</w:t>
            </w:r>
            <w:r w:rsidR="005711A3">
              <w:rPr>
                <w:rFonts w:ascii="Arial" w:eastAsia="Times New Roman" w:hAnsi="Arial" w:cs="Arial"/>
                <w:bCs/>
                <w:color w:val="000000"/>
                <w:sz w:val="18"/>
                <w:szCs w:val="18"/>
                <w:lang w:val="mn-MN"/>
              </w:rPr>
              <w:t xml:space="preserve"> </w:t>
            </w:r>
            <w:r w:rsidRPr="0045262B">
              <w:rPr>
                <w:rFonts w:ascii="Arial" w:eastAsia="Times New Roman" w:hAnsi="Arial" w:cs="Arial"/>
                <w:bCs/>
                <w:color w:val="000000"/>
                <w:sz w:val="18"/>
                <w:szCs w:val="18"/>
                <w:lang w:val="mn-MN"/>
              </w:rPr>
              <w:t>хугацаа</w:t>
            </w:r>
          </w:p>
        </w:tc>
        <w:tc>
          <w:tcPr>
            <w:tcW w:w="865" w:type="dxa"/>
            <w:shd w:val="clear" w:color="auto" w:fill="F2F2F2" w:themeFill="background1" w:themeFillShade="F2"/>
            <w:noWrap/>
            <w:vAlign w:val="center"/>
            <w:hideMark/>
          </w:tcPr>
          <w:p w14:paraId="027F495D"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2.97</w:t>
            </w:r>
          </w:p>
        </w:tc>
        <w:tc>
          <w:tcPr>
            <w:tcW w:w="709" w:type="dxa"/>
            <w:shd w:val="clear" w:color="auto" w:fill="F2F2F2" w:themeFill="background1" w:themeFillShade="F2"/>
            <w:noWrap/>
            <w:vAlign w:val="center"/>
            <w:hideMark/>
          </w:tcPr>
          <w:p w14:paraId="682E3320"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w:t>
            </w:r>
          </w:p>
        </w:tc>
        <w:tc>
          <w:tcPr>
            <w:tcW w:w="714" w:type="dxa"/>
            <w:shd w:val="clear" w:color="auto" w:fill="F2F2F2" w:themeFill="background1" w:themeFillShade="F2"/>
            <w:noWrap/>
            <w:vAlign w:val="center"/>
            <w:hideMark/>
          </w:tcPr>
          <w:p w14:paraId="4F6C3143"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17.00</w:t>
            </w:r>
          </w:p>
        </w:tc>
        <w:tc>
          <w:tcPr>
            <w:tcW w:w="865" w:type="dxa"/>
            <w:shd w:val="clear" w:color="auto" w:fill="auto"/>
            <w:noWrap/>
            <w:vAlign w:val="center"/>
            <w:hideMark/>
          </w:tcPr>
          <w:p w14:paraId="04AAB1A2"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1.50</w:t>
            </w:r>
          </w:p>
        </w:tc>
        <w:tc>
          <w:tcPr>
            <w:tcW w:w="709" w:type="dxa"/>
            <w:shd w:val="clear" w:color="auto" w:fill="auto"/>
            <w:noWrap/>
            <w:vAlign w:val="center"/>
            <w:hideMark/>
          </w:tcPr>
          <w:p w14:paraId="236D429C"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0.10</w:t>
            </w:r>
          </w:p>
        </w:tc>
        <w:tc>
          <w:tcPr>
            <w:tcW w:w="715" w:type="dxa"/>
            <w:shd w:val="clear" w:color="auto" w:fill="auto"/>
            <w:noWrap/>
            <w:vAlign w:val="center"/>
            <w:hideMark/>
          </w:tcPr>
          <w:p w14:paraId="31A11B56"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21.00</w:t>
            </w:r>
          </w:p>
        </w:tc>
        <w:tc>
          <w:tcPr>
            <w:tcW w:w="718" w:type="dxa"/>
            <w:shd w:val="clear" w:color="auto" w:fill="F2F2F2" w:themeFill="background1" w:themeFillShade="F2"/>
            <w:noWrap/>
            <w:vAlign w:val="center"/>
            <w:hideMark/>
          </w:tcPr>
          <w:p w14:paraId="0CA282B8"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0.028*</w:t>
            </w:r>
          </w:p>
        </w:tc>
        <w:tc>
          <w:tcPr>
            <w:tcW w:w="582" w:type="dxa"/>
            <w:shd w:val="clear" w:color="auto" w:fill="auto"/>
            <w:noWrap/>
            <w:vAlign w:val="center"/>
            <w:hideMark/>
          </w:tcPr>
          <w:p w14:paraId="517D8377"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2.24</w:t>
            </w:r>
          </w:p>
        </w:tc>
        <w:tc>
          <w:tcPr>
            <w:tcW w:w="1212" w:type="dxa"/>
            <w:shd w:val="clear" w:color="auto" w:fill="auto"/>
            <w:noWrap/>
            <w:vAlign w:val="center"/>
            <w:hideMark/>
          </w:tcPr>
          <w:p w14:paraId="57295607" w14:textId="77777777" w:rsidR="00A67316" w:rsidRPr="0045262B" w:rsidRDefault="00A67316" w:rsidP="00ED2338">
            <w:pPr>
              <w:spacing w:after="0" w:line="240" w:lineRule="auto"/>
              <w:jc w:val="center"/>
              <w:rPr>
                <w:rFonts w:ascii="Arial" w:eastAsia="Times New Roman" w:hAnsi="Arial" w:cs="Arial"/>
                <w:bCs/>
                <w:color w:val="000000"/>
                <w:sz w:val="18"/>
                <w:szCs w:val="18"/>
              </w:rPr>
            </w:pPr>
            <w:r w:rsidRPr="0045262B">
              <w:rPr>
                <w:rFonts w:ascii="Arial" w:eastAsia="Times New Roman" w:hAnsi="Arial" w:cs="Arial"/>
                <w:bCs/>
                <w:color w:val="000000"/>
                <w:sz w:val="18"/>
                <w:szCs w:val="18"/>
              </w:rPr>
              <w:t>0.01 - 21.0</w:t>
            </w:r>
          </w:p>
        </w:tc>
      </w:tr>
    </w:tbl>
    <w:p w14:paraId="1FFBF5B8" w14:textId="77777777" w:rsidR="00A67316" w:rsidRDefault="0045262B" w:rsidP="00ED2338">
      <w:pPr>
        <w:autoSpaceDE w:val="0"/>
        <w:autoSpaceDN w:val="0"/>
        <w:adjustRightInd w:val="0"/>
        <w:spacing w:after="0" w:line="240" w:lineRule="auto"/>
        <w:rPr>
          <w:rFonts w:ascii="Arial" w:hAnsi="Arial" w:cs="Arial"/>
          <w:i/>
          <w:sz w:val="18"/>
          <w:szCs w:val="24"/>
          <w:lang w:val="mn-MN"/>
        </w:rPr>
      </w:pPr>
      <w:r w:rsidRPr="0045262B">
        <w:rPr>
          <w:rFonts w:ascii="Arial" w:hAnsi="Arial" w:cs="Arial"/>
          <w:i/>
          <w:sz w:val="18"/>
          <w:szCs w:val="24"/>
          <w:lang w:val="mn-MN"/>
        </w:rPr>
        <w:t>* - р утга 0.05-аас бага</w:t>
      </w:r>
    </w:p>
    <w:p w14:paraId="200E6525" w14:textId="77777777" w:rsidR="0045262B" w:rsidRDefault="0045262B" w:rsidP="00ED2338">
      <w:pPr>
        <w:autoSpaceDE w:val="0"/>
        <w:autoSpaceDN w:val="0"/>
        <w:adjustRightInd w:val="0"/>
        <w:spacing w:after="0" w:line="240" w:lineRule="auto"/>
        <w:rPr>
          <w:rFonts w:ascii="Arial" w:hAnsi="Arial" w:cs="Arial"/>
          <w:i/>
          <w:sz w:val="18"/>
          <w:szCs w:val="24"/>
          <w:lang w:val="mn-MN"/>
        </w:rPr>
      </w:pPr>
    </w:p>
    <w:p w14:paraId="634AF2FD" w14:textId="61D5B4A3" w:rsidR="00FF3131" w:rsidRDefault="00BA2A15" w:rsidP="00ED2338">
      <w:pPr>
        <w:autoSpaceDE w:val="0"/>
        <w:autoSpaceDN w:val="0"/>
        <w:adjustRightInd w:val="0"/>
        <w:spacing w:after="0" w:line="240" w:lineRule="auto"/>
        <w:jc w:val="both"/>
        <w:rPr>
          <w:rFonts w:ascii="Arial" w:hAnsi="Arial" w:cs="Arial"/>
          <w:sz w:val="24"/>
          <w:szCs w:val="24"/>
          <w:lang w:val="mn-MN"/>
        </w:rPr>
      </w:pPr>
      <w:r w:rsidRPr="00BA2A15">
        <w:rPr>
          <w:rFonts w:ascii="Arial" w:hAnsi="Arial" w:cs="Arial"/>
          <w:sz w:val="24"/>
          <w:szCs w:val="24"/>
          <w:lang w:val="mn-MN"/>
        </w:rPr>
        <w:t>Статистик ач холбогдол бүхий тодорхойлогдсон хүлээгдлийн цагий</w:t>
      </w:r>
      <w:r w:rsidR="007D10EF">
        <w:rPr>
          <w:rFonts w:ascii="Arial" w:hAnsi="Arial" w:cs="Arial"/>
          <w:sz w:val="24"/>
          <w:szCs w:val="24"/>
          <w:lang w:val="mn-MN"/>
        </w:rPr>
        <w:t>н</w:t>
      </w:r>
      <w:r w:rsidRPr="00BA2A15">
        <w:rPr>
          <w:rFonts w:ascii="Arial" w:hAnsi="Arial" w:cs="Arial"/>
          <w:sz w:val="24"/>
          <w:szCs w:val="24"/>
          <w:lang w:val="mn-MN"/>
        </w:rPr>
        <w:t xml:space="preserve"> хувьсагчдын харааны чадалд үзүүлэх нөлөөллийн хүчийг ординал логистик регрессийн шинжилгээгээр үнэлсэн.</w:t>
      </w:r>
      <w:r>
        <w:rPr>
          <w:rFonts w:ascii="Arial" w:hAnsi="Arial" w:cs="Arial"/>
          <w:sz w:val="24"/>
          <w:szCs w:val="24"/>
          <w:lang w:val="mn-MN"/>
        </w:rPr>
        <w:t xml:space="preserve"> Ординал регрессийн</w:t>
      </w:r>
      <w:r w:rsidR="004B475A">
        <w:rPr>
          <w:rFonts w:ascii="Arial" w:hAnsi="Arial" w:cs="Arial"/>
          <w:sz w:val="24"/>
          <w:szCs w:val="24"/>
          <w:lang w:val="mn-MN"/>
        </w:rPr>
        <w:t xml:space="preserve"> шинжилгээний үр дүнгээс үзэхэд мэс засалд орох нас 1 сараа</w:t>
      </w:r>
      <w:r w:rsidR="004F10D8">
        <w:rPr>
          <w:rFonts w:ascii="Arial" w:hAnsi="Arial" w:cs="Arial"/>
          <w:sz w:val="24"/>
          <w:szCs w:val="24"/>
          <w:lang w:val="mn-MN"/>
        </w:rPr>
        <w:t>р хойшлоход харааны чадал буурах</w:t>
      </w:r>
      <w:r w:rsidR="004B475A">
        <w:rPr>
          <w:rFonts w:ascii="Arial" w:hAnsi="Arial" w:cs="Arial"/>
          <w:sz w:val="24"/>
          <w:szCs w:val="24"/>
          <w:lang w:val="mn-MN"/>
        </w:rPr>
        <w:t xml:space="preserve"> магадлал 1.8% нэмэгддэг байна. Харин шинж тэмдэг ажиглагдснаас хойш мэс засалд орох хүртэлх хүлээгдэл 1 сараар нэмэгдэхэд мэс заслы</w:t>
      </w:r>
      <w:r w:rsidR="00902C13">
        <w:rPr>
          <w:rFonts w:ascii="Arial" w:hAnsi="Arial" w:cs="Arial"/>
          <w:sz w:val="24"/>
          <w:szCs w:val="24"/>
          <w:lang w:val="mn-MN"/>
        </w:rPr>
        <w:t xml:space="preserve">н дараа харааны чадал буурах </w:t>
      </w:r>
      <w:r w:rsidR="004B475A">
        <w:rPr>
          <w:rFonts w:ascii="Arial" w:hAnsi="Arial" w:cs="Arial"/>
          <w:sz w:val="24"/>
          <w:szCs w:val="24"/>
          <w:lang w:val="mn-MN"/>
        </w:rPr>
        <w:t xml:space="preserve"> эрсдэл 3.7% нэмэгдэхээр байна. Мөн эмнэлэгт хандахаас өмнөх хүлээгдэл буюу</w:t>
      </w:r>
      <w:r w:rsidR="00902C13">
        <w:rPr>
          <w:rFonts w:ascii="Arial" w:hAnsi="Arial" w:cs="Arial"/>
          <w:sz w:val="24"/>
          <w:szCs w:val="24"/>
          <w:lang w:val="mn-MN"/>
        </w:rPr>
        <w:t xml:space="preserve"> шинж тэмдэг ажиглагдснаас онош</w:t>
      </w:r>
      <w:r w:rsidR="004B475A">
        <w:rPr>
          <w:rFonts w:ascii="Arial" w:hAnsi="Arial" w:cs="Arial"/>
          <w:sz w:val="24"/>
          <w:szCs w:val="24"/>
          <w:lang w:val="mn-MN"/>
        </w:rPr>
        <w:t>логдох хүртэлх хүлээгдэл 1 сараар нэмэгдэхэд мэс заслы</w:t>
      </w:r>
      <w:r w:rsidR="00902C13">
        <w:rPr>
          <w:rFonts w:ascii="Arial" w:hAnsi="Arial" w:cs="Arial"/>
          <w:sz w:val="24"/>
          <w:szCs w:val="24"/>
          <w:lang w:val="mn-MN"/>
        </w:rPr>
        <w:t xml:space="preserve">н дараах харааны чадал буурах </w:t>
      </w:r>
      <w:r w:rsidR="004B475A">
        <w:rPr>
          <w:rFonts w:ascii="Arial" w:hAnsi="Arial" w:cs="Arial"/>
          <w:sz w:val="24"/>
          <w:szCs w:val="24"/>
          <w:lang w:val="mn-MN"/>
        </w:rPr>
        <w:t>магадлал 18.7%-иар нэмэгдэж байна.</w:t>
      </w:r>
    </w:p>
    <w:p w14:paraId="5E7FCA4C" w14:textId="77777777" w:rsidR="00ED2338" w:rsidRPr="00BA2A15" w:rsidRDefault="00ED2338" w:rsidP="00ED2338">
      <w:pPr>
        <w:autoSpaceDE w:val="0"/>
        <w:autoSpaceDN w:val="0"/>
        <w:adjustRightInd w:val="0"/>
        <w:spacing w:after="0" w:line="240" w:lineRule="auto"/>
        <w:jc w:val="both"/>
        <w:rPr>
          <w:rFonts w:ascii="Arial" w:hAnsi="Arial" w:cs="Arial"/>
          <w:sz w:val="24"/>
          <w:szCs w:val="24"/>
          <w:lang w:val="mn-MN"/>
        </w:rPr>
      </w:pPr>
    </w:p>
    <w:p w14:paraId="5F2DBCED" w14:textId="385389FF" w:rsidR="00BA2A15" w:rsidRPr="00494246" w:rsidRDefault="00902C13" w:rsidP="00ED2338">
      <w:pPr>
        <w:autoSpaceDE w:val="0"/>
        <w:autoSpaceDN w:val="0"/>
        <w:adjustRightInd w:val="0"/>
        <w:spacing w:after="0" w:line="240" w:lineRule="auto"/>
        <w:jc w:val="both"/>
        <w:rPr>
          <w:rFonts w:ascii="Arial" w:hAnsi="Arial" w:cs="Arial"/>
          <w:b/>
          <w:sz w:val="24"/>
          <w:szCs w:val="24"/>
        </w:rPr>
      </w:pPr>
      <w:r>
        <w:rPr>
          <w:rFonts w:ascii="Arial" w:hAnsi="Arial" w:cs="Arial"/>
          <w:b/>
          <w:sz w:val="24"/>
          <w:szCs w:val="24"/>
          <w:lang w:val="mn-MN"/>
        </w:rPr>
        <w:t xml:space="preserve">Хүснэгт 3. </w:t>
      </w:r>
      <w:r w:rsidRPr="00ED2338">
        <w:rPr>
          <w:rFonts w:ascii="Arial" w:hAnsi="Arial" w:cs="Arial"/>
          <w:bCs/>
          <w:sz w:val="24"/>
          <w:szCs w:val="24"/>
          <w:lang w:val="mn-MN"/>
        </w:rPr>
        <w:t>Хүлээгдлийн хугацаа</w:t>
      </w:r>
      <w:r w:rsidR="00BA2A15" w:rsidRPr="00ED2338">
        <w:rPr>
          <w:rFonts w:ascii="Arial" w:hAnsi="Arial" w:cs="Arial"/>
          <w:bCs/>
          <w:sz w:val="24"/>
          <w:szCs w:val="24"/>
          <w:lang w:val="mn-MN"/>
        </w:rPr>
        <w:t xml:space="preserve"> харааны чадалд нөлөөлөх байдлыг тодорхойлох ординал регрессийн шинжилгээний дүн</w:t>
      </w:r>
    </w:p>
    <w:tbl>
      <w:tblPr>
        <w:tblStyle w:val="TableGrid"/>
        <w:tblW w:w="9347"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8"/>
        <w:gridCol w:w="1384"/>
        <w:gridCol w:w="1522"/>
        <w:gridCol w:w="1463"/>
      </w:tblGrid>
      <w:tr w:rsidR="00BA2A15" w:rsidRPr="00494246" w14:paraId="0EB70DFE" w14:textId="77777777" w:rsidTr="00BA2A15">
        <w:trPr>
          <w:trHeight w:val="359"/>
        </w:trPr>
        <w:tc>
          <w:tcPr>
            <w:tcW w:w="4978" w:type="dxa"/>
            <w:vMerge w:val="restart"/>
            <w:tcBorders>
              <w:top w:val="single" w:sz="4" w:space="0" w:color="auto"/>
              <w:bottom w:val="nil"/>
            </w:tcBorders>
            <w:vAlign w:val="center"/>
          </w:tcPr>
          <w:p w14:paraId="78B5C1E9"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Үзүүлэлт</w:t>
            </w:r>
          </w:p>
        </w:tc>
        <w:tc>
          <w:tcPr>
            <w:tcW w:w="1384" w:type="dxa"/>
            <w:vMerge w:val="restart"/>
            <w:tcBorders>
              <w:top w:val="single" w:sz="4" w:space="0" w:color="auto"/>
              <w:bottom w:val="nil"/>
            </w:tcBorders>
            <w:vAlign w:val="center"/>
          </w:tcPr>
          <w:p w14:paraId="6FDD0479"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В</w:t>
            </w:r>
          </w:p>
        </w:tc>
        <w:tc>
          <w:tcPr>
            <w:tcW w:w="2985" w:type="dxa"/>
            <w:gridSpan w:val="2"/>
            <w:tcBorders>
              <w:top w:val="single" w:sz="4" w:space="0" w:color="auto"/>
              <w:bottom w:val="single" w:sz="4" w:space="0" w:color="auto"/>
            </w:tcBorders>
            <w:vAlign w:val="center"/>
          </w:tcPr>
          <w:p w14:paraId="0D01877A" w14:textId="77777777" w:rsidR="00BA2A15" w:rsidRPr="00494246" w:rsidRDefault="00BA2A15" w:rsidP="00ED2338">
            <w:pPr>
              <w:jc w:val="center"/>
              <w:rPr>
                <w:rFonts w:ascii="Arial" w:hAnsi="Arial" w:cs="Arial"/>
                <w:szCs w:val="20"/>
              </w:rPr>
            </w:pPr>
            <w:r w:rsidRPr="00494246">
              <w:rPr>
                <w:rFonts w:ascii="Arial" w:hAnsi="Arial" w:cs="Arial"/>
                <w:szCs w:val="20"/>
                <w:lang w:val="mn-MN"/>
              </w:rPr>
              <w:t>95.0% ИИ</w:t>
            </w:r>
          </w:p>
        </w:tc>
      </w:tr>
      <w:tr w:rsidR="00BA2A15" w:rsidRPr="00494246" w14:paraId="76CC26E1" w14:textId="77777777" w:rsidTr="00BA2A15">
        <w:trPr>
          <w:trHeight w:val="359"/>
        </w:trPr>
        <w:tc>
          <w:tcPr>
            <w:tcW w:w="4978" w:type="dxa"/>
            <w:vMerge/>
            <w:tcBorders>
              <w:top w:val="nil"/>
              <w:bottom w:val="single" w:sz="4" w:space="0" w:color="auto"/>
            </w:tcBorders>
          </w:tcPr>
          <w:p w14:paraId="1FA0855E" w14:textId="77777777" w:rsidR="00BA2A15" w:rsidRPr="00494246" w:rsidRDefault="00BA2A15" w:rsidP="00ED2338">
            <w:pPr>
              <w:rPr>
                <w:rFonts w:ascii="Arial" w:hAnsi="Arial" w:cs="Arial"/>
                <w:szCs w:val="20"/>
              </w:rPr>
            </w:pPr>
          </w:p>
        </w:tc>
        <w:tc>
          <w:tcPr>
            <w:tcW w:w="1384" w:type="dxa"/>
            <w:vMerge/>
            <w:tcBorders>
              <w:top w:val="nil"/>
              <w:bottom w:val="single" w:sz="4" w:space="0" w:color="auto"/>
            </w:tcBorders>
            <w:vAlign w:val="center"/>
          </w:tcPr>
          <w:p w14:paraId="6C29348C" w14:textId="77777777" w:rsidR="00BA2A15" w:rsidRPr="00494246" w:rsidRDefault="00BA2A15" w:rsidP="00ED2338">
            <w:pPr>
              <w:jc w:val="center"/>
              <w:rPr>
                <w:rFonts w:ascii="Arial" w:hAnsi="Arial" w:cs="Arial"/>
                <w:szCs w:val="20"/>
                <w:lang w:val="mn-MN"/>
              </w:rPr>
            </w:pPr>
          </w:p>
        </w:tc>
        <w:tc>
          <w:tcPr>
            <w:tcW w:w="1522" w:type="dxa"/>
            <w:tcBorders>
              <w:top w:val="single" w:sz="4" w:space="0" w:color="auto"/>
              <w:bottom w:val="single" w:sz="4" w:space="0" w:color="auto"/>
            </w:tcBorders>
            <w:vAlign w:val="center"/>
          </w:tcPr>
          <w:p w14:paraId="03D1D10E"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Доод</w:t>
            </w:r>
          </w:p>
        </w:tc>
        <w:tc>
          <w:tcPr>
            <w:tcW w:w="1463" w:type="dxa"/>
            <w:tcBorders>
              <w:top w:val="single" w:sz="4" w:space="0" w:color="auto"/>
              <w:bottom w:val="single" w:sz="4" w:space="0" w:color="auto"/>
            </w:tcBorders>
            <w:vAlign w:val="center"/>
          </w:tcPr>
          <w:p w14:paraId="234DB2AC"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Дээд</w:t>
            </w:r>
          </w:p>
        </w:tc>
      </w:tr>
      <w:tr w:rsidR="00BA2A15" w:rsidRPr="00494246" w14:paraId="34D6694D" w14:textId="77777777" w:rsidTr="00BA2A15">
        <w:trPr>
          <w:trHeight w:val="336"/>
        </w:trPr>
        <w:tc>
          <w:tcPr>
            <w:tcW w:w="4978" w:type="dxa"/>
            <w:tcBorders>
              <w:top w:val="single" w:sz="4" w:space="0" w:color="auto"/>
            </w:tcBorders>
          </w:tcPr>
          <w:p w14:paraId="10FC8100" w14:textId="77777777" w:rsidR="00BA2A15" w:rsidRPr="00494246" w:rsidRDefault="00BA2A15" w:rsidP="00ED2338">
            <w:pPr>
              <w:rPr>
                <w:rFonts w:ascii="Arial" w:hAnsi="Arial" w:cs="Arial"/>
                <w:szCs w:val="20"/>
                <w:lang w:val="mn-MN"/>
              </w:rPr>
            </w:pPr>
            <w:r w:rsidRPr="00494246">
              <w:rPr>
                <w:rFonts w:ascii="Arial" w:hAnsi="Arial" w:cs="Arial"/>
                <w:szCs w:val="20"/>
                <w:lang w:val="mn-MN"/>
              </w:rPr>
              <w:t>Оношлогдсон нас</w:t>
            </w:r>
          </w:p>
        </w:tc>
        <w:tc>
          <w:tcPr>
            <w:tcW w:w="1384" w:type="dxa"/>
            <w:tcBorders>
              <w:top w:val="single" w:sz="4" w:space="0" w:color="auto"/>
            </w:tcBorders>
            <w:vAlign w:val="center"/>
          </w:tcPr>
          <w:p w14:paraId="41ED88D5"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0.013</w:t>
            </w:r>
          </w:p>
        </w:tc>
        <w:tc>
          <w:tcPr>
            <w:tcW w:w="1522" w:type="dxa"/>
            <w:tcBorders>
              <w:top w:val="single" w:sz="4" w:space="0" w:color="auto"/>
            </w:tcBorders>
            <w:vAlign w:val="center"/>
          </w:tcPr>
          <w:p w14:paraId="50A7372F"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-0.383</w:t>
            </w:r>
          </w:p>
        </w:tc>
        <w:tc>
          <w:tcPr>
            <w:tcW w:w="1463" w:type="dxa"/>
            <w:tcBorders>
              <w:top w:val="single" w:sz="4" w:space="0" w:color="auto"/>
            </w:tcBorders>
            <w:vAlign w:val="center"/>
          </w:tcPr>
          <w:p w14:paraId="39FCDDD1"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0.408</w:t>
            </w:r>
          </w:p>
        </w:tc>
      </w:tr>
      <w:tr w:rsidR="00BA2A15" w:rsidRPr="00494246" w14:paraId="21C001C6" w14:textId="77777777" w:rsidTr="00BA2A15">
        <w:trPr>
          <w:trHeight w:val="359"/>
        </w:trPr>
        <w:tc>
          <w:tcPr>
            <w:tcW w:w="4978" w:type="dxa"/>
          </w:tcPr>
          <w:p w14:paraId="209288AA" w14:textId="77777777" w:rsidR="00BA2A15" w:rsidRPr="00494246" w:rsidRDefault="00BA2A15" w:rsidP="00ED2338">
            <w:pPr>
              <w:rPr>
                <w:rFonts w:ascii="Arial" w:hAnsi="Arial" w:cs="Arial"/>
                <w:szCs w:val="20"/>
                <w:lang w:val="mn-MN"/>
              </w:rPr>
            </w:pPr>
            <w:r w:rsidRPr="00494246">
              <w:rPr>
                <w:rFonts w:ascii="Arial" w:hAnsi="Arial" w:cs="Arial"/>
                <w:szCs w:val="20"/>
                <w:lang w:val="mn-MN"/>
              </w:rPr>
              <w:t>Мэс засалд орсон нас</w:t>
            </w:r>
          </w:p>
        </w:tc>
        <w:tc>
          <w:tcPr>
            <w:tcW w:w="1384" w:type="dxa"/>
            <w:vAlign w:val="center"/>
          </w:tcPr>
          <w:p w14:paraId="3091A57F"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0.018</w:t>
            </w:r>
          </w:p>
        </w:tc>
        <w:tc>
          <w:tcPr>
            <w:tcW w:w="1522" w:type="dxa"/>
            <w:vAlign w:val="center"/>
          </w:tcPr>
          <w:p w14:paraId="5E86B467"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-0.111</w:t>
            </w:r>
          </w:p>
        </w:tc>
        <w:tc>
          <w:tcPr>
            <w:tcW w:w="1463" w:type="dxa"/>
            <w:vAlign w:val="center"/>
          </w:tcPr>
          <w:p w14:paraId="70C3C741"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0.148</w:t>
            </w:r>
          </w:p>
        </w:tc>
      </w:tr>
      <w:tr w:rsidR="00BA2A15" w:rsidRPr="00494246" w14:paraId="22BFE0A9" w14:textId="77777777" w:rsidTr="00BA2A15">
        <w:trPr>
          <w:trHeight w:val="336"/>
        </w:trPr>
        <w:tc>
          <w:tcPr>
            <w:tcW w:w="4978" w:type="dxa"/>
          </w:tcPr>
          <w:p w14:paraId="5E10D7D4" w14:textId="77777777" w:rsidR="00BA2A15" w:rsidRPr="00494246" w:rsidRDefault="00BA2A15" w:rsidP="00ED2338">
            <w:pPr>
              <w:rPr>
                <w:rFonts w:ascii="Arial" w:hAnsi="Arial" w:cs="Arial"/>
                <w:szCs w:val="20"/>
              </w:rPr>
            </w:pPr>
            <w:r w:rsidRPr="00494246">
              <w:rPr>
                <w:rFonts w:ascii="Arial" w:hAnsi="Arial" w:cs="Arial"/>
                <w:szCs w:val="20"/>
                <w:lang w:val="mn-MN"/>
              </w:rPr>
              <w:t xml:space="preserve">Ажигласанаас оношлогдох хүртэлх хүлээгдэл </w:t>
            </w:r>
            <w:r w:rsidRPr="00494246">
              <w:rPr>
                <w:rFonts w:ascii="Arial" w:hAnsi="Arial" w:cs="Arial"/>
                <w:szCs w:val="20"/>
              </w:rPr>
              <w:t>(</w:t>
            </w:r>
            <w:r w:rsidRPr="00494246">
              <w:rPr>
                <w:rFonts w:ascii="Arial" w:hAnsi="Arial" w:cs="Arial"/>
                <w:szCs w:val="20"/>
                <w:lang w:val="mn-MN"/>
              </w:rPr>
              <w:t>сараар</w:t>
            </w:r>
            <w:r w:rsidRPr="00494246">
              <w:rPr>
                <w:rFonts w:ascii="Arial" w:hAnsi="Arial" w:cs="Arial"/>
                <w:szCs w:val="20"/>
              </w:rPr>
              <w:t>)</w:t>
            </w:r>
          </w:p>
        </w:tc>
        <w:tc>
          <w:tcPr>
            <w:tcW w:w="1384" w:type="dxa"/>
            <w:vAlign w:val="center"/>
          </w:tcPr>
          <w:p w14:paraId="4734C41F" w14:textId="77777777" w:rsidR="00BA2A15" w:rsidRPr="00494246" w:rsidRDefault="00BA2A15" w:rsidP="00ED2338">
            <w:pPr>
              <w:jc w:val="center"/>
              <w:rPr>
                <w:rFonts w:ascii="Arial" w:hAnsi="Arial" w:cs="Arial"/>
                <w:szCs w:val="20"/>
              </w:rPr>
            </w:pPr>
            <w:r w:rsidRPr="00494246">
              <w:rPr>
                <w:rFonts w:ascii="Arial" w:hAnsi="Arial" w:cs="Arial"/>
                <w:szCs w:val="20"/>
              </w:rPr>
              <w:t>0.187</w:t>
            </w:r>
          </w:p>
        </w:tc>
        <w:tc>
          <w:tcPr>
            <w:tcW w:w="1522" w:type="dxa"/>
            <w:vAlign w:val="center"/>
          </w:tcPr>
          <w:p w14:paraId="4E54A683" w14:textId="77777777" w:rsidR="00BA2A15" w:rsidRPr="00494246" w:rsidRDefault="00BA2A15" w:rsidP="00ED2338">
            <w:pPr>
              <w:jc w:val="center"/>
              <w:rPr>
                <w:rFonts w:ascii="Arial" w:hAnsi="Arial" w:cs="Arial"/>
                <w:szCs w:val="20"/>
              </w:rPr>
            </w:pPr>
            <w:r w:rsidRPr="00494246">
              <w:rPr>
                <w:rFonts w:ascii="Arial" w:hAnsi="Arial" w:cs="Arial"/>
                <w:szCs w:val="20"/>
              </w:rPr>
              <w:t>-0.566</w:t>
            </w:r>
          </w:p>
        </w:tc>
        <w:tc>
          <w:tcPr>
            <w:tcW w:w="1463" w:type="dxa"/>
            <w:vAlign w:val="center"/>
          </w:tcPr>
          <w:p w14:paraId="2084D3D9" w14:textId="77777777" w:rsidR="00BA2A15" w:rsidRPr="00494246" w:rsidRDefault="00BA2A15" w:rsidP="00ED2338">
            <w:pPr>
              <w:jc w:val="center"/>
              <w:rPr>
                <w:rFonts w:ascii="Arial" w:hAnsi="Arial" w:cs="Arial"/>
                <w:szCs w:val="20"/>
              </w:rPr>
            </w:pPr>
            <w:r w:rsidRPr="00494246">
              <w:rPr>
                <w:rFonts w:ascii="Arial" w:hAnsi="Arial" w:cs="Arial"/>
                <w:szCs w:val="20"/>
              </w:rPr>
              <w:t>0.941</w:t>
            </w:r>
          </w:p>
        </w:tc>
      </w:tr>
      <w:tr w:rsidR="00BA2A15" w:rsidRPr="00494246" w14:paraId="5EDE6975" w14:textId="77777777" w:rsidTr="00BA2A15">
        <w:trPr>
          <w:trHeight w:val="336"/>
        </w:trPr>
        <w:tc>
          <w:tcPr>
            <w:tcW w:w="4978" w:type="dxa"/>
          </w:tcPr>
          <w:p w14:paraId="361A690B" w14:textId="77777777" w:rsidR="00BA2A15" w:rsidRPr="00494246" w:rsidRDefault="00BA2A15" w:rsidP="00ED2338">
            <w:pPr>
              <w:rPr>
                <w:rFonts w:ascii="Arial" w:hAnsi="Arial" w:cs="Arial"/>
                <w:szCs w:val="20"/>
              </w:rPr>
            </w:pPr>
            <w:r w:rsidRPr="00494246">
              <w:rPr>
                <w:rFonts w:ascii="Arial" w:hAnsi="Arial" w:cs="Arial"/>
                <w:szCs w:val="20"/>
                <w:lang w:val="mn-MN"/>
              </w:rPr>
              <w:t xml:space="preserve">Оношлогдсоноос мэс засалд орох хүлээгдэл </w:t>
            </w:r>
            <w:r w:rsidRPr="00494246">
              <w:rPr>
                <w:rFonts w:ascii="Arial" w:hAnsi="Arial" w:cs="Arial"/>
                <w:szCs w:val="20"/>
              </w:rPr>
              <w:t>(</w:t>
            </w:r>
            <w:r w:rsidRPr="00494246">
              <w:rPr>
                <w:rFonts w:ascii="Arial" w:hAnsi="Arial" w:cs="Arial"/>
                <w:szCs w:val="20"/>
                <w:lang w:val="mn-MN"/>
              </w:rPr>
              <w:t>сар</w:t>
            </w:r>
            <w:r w:rsidRPr="00494246">
              <w:rPr>
                <w:rFonts w:ascii="Arial" w:hAnsi="Arial" w:cs="Arial"/>
                <w:szCs w:val="20"/>
              </w:rPr>
              <w:t>)</w:t>
            </w:r>
          </w:p>
        </w:tc>
        <w:tc>
          <w:tcPr>
            <w:tcW w:w="1384" w:type="dxa"/>
            <w:vAlign w:val="center"/>
          </w:tcPr>
          <w:p w14:paraId="2E3CA6EF" w14:textId="77777777" w:rsidR="00BA2A15" w:rsidRPr="00494246" w:rsidRDefault="00BA2A15" w:rsidP="00ED2338">
            <w:pPr>
              <w:jc w:val="center"/>
              <w:rPr>
                <w:rFonts w:ascii="Arial" w:hAnsi="Arial" w:cs="Arial"/>
                <w:szCs w:val="20"/>
              </w:rPr>
            </w:pPr>
            <w:r w:rsidRPr="00494246">
              <w:rPr>
                <w:rFonts w:ascii="Arial" w:hAnsi="Arial" w:cs="Arial"/>
                <w:szCs w:val="20"/>
              </w:rPr>
              <w:t>0.028</w:t>
            </w:r>
          </w:p>
        </w:tc>
        <w:tc>
          <w:tcPr>
            <w:tcW w:w="1522" w:type="dxa"/>
            <w:vAlign w:val="center"/>
          </w:tcPr>
          <w:p w14:paraId="67DCF3CA" w14:textId="77777777" w:rsidR="00BA2A15" w:rsidRPr="00494246" w:rsidRDefault="00BA2A15" w:rsidP="00ED2338">
            <w:pPr>
              <w:jc w:val="center"/>
              <w:rPr>
                <w:rFonts w:ascii="Arial" w:hAnsi="Arial" w:cs="Arial"/>
                <w:szCs w:val="20"/>
              </w:rPr>
            </w:pPr>
            <w:r w:rsidRPr="00494246">
              <w:rPr>
                <w:rFonts w:ascii="Arial" w:hAnsi="Arial" w:cs="Arial"/>
                <w:szCs w:val="20"/>
              </w:rPr>
              <w:t>-0.140</w:t>
            </w:r>
          </w:p>
        </w:tc>
        <w:tc>
          <w:tcPr>
            <w:tcW w:w="1463" w:type="dxa"/>
            <w:vAlign w:val="center"/>
          </w:tcPr>
          <w:p w14:paraId="22818BD7" w14:textId="77777777" w:rsidR="00BA2A15" w:rsidRPr="00494246" w:rsidRDefault="00BA2A15" w:rsidP="00ED2338">
            <w:pPr>
              <w:jc w:val="center"/>
              <w:rPr>
                <w:rFonts w:ascii="Arial" w:hAnsi="Arial" w:cs="Arial"/>
                <w:szCs w:val="20"/>
              </w:rPr>
            </w:pPr>
            <w:r w:rsidRPr="00494246">
              <w:rPr>
                <w:rFonts w:ascii="Arial" w:hAnsi="Arial" w:cs="Arial"/>
                <w:szCs w:val="20"/>
              </w:rPr>
              <w:t>0.197</w:t>
            </w:r>
          </w:p>
        </w:tc>
      </w:tr>
      <w:tr w:rsidR="00BA2A15" w:rsidRPr="00494246" w14:paraId="0FD50139" w14:textId="77777777" w:rsidTr="00BA2A15">
        <w:trPr>
          <w:trHeight w:val="336"/>
        </w:trPr>
        <w:tc>
          <w:tcPr>
            <w:tcW w:w="4978" w:type="dxa"/>
          </w:tcPr>
          <w:p w14:paraId="158089BE" w14:textId="77777777" w:rsidR="00BA2A15" w:rsidRPr="00494246" w:rsidRDefault="00BA2A15" w:rsidP="00ED2338">
            <w:pPr>
              <w:rPr>
                <w:rFonts w:ascii="Arial" w:hAnsi="Arial" w:cs="Arial"/>
                <w:szCs w:val="20"/>
                <w:lang w:val="mn-MN"/>
              </w:rPr>
            </w:pPr>
            <w:r w:rsidRPr="00494246">
              <w:rPr>
                <w:rFonts w:ascii="Arial" w:hAnsi="Arial" w:cs="Arial"/>
                <w:szCs w:val="20"/>
                <w:lang w:val="mn-MN"/>
              </w:rPr>
              <w:t>Нийт хүлээгдлийн хугацаа</w:t>
            </w:r>
          </w:p>
        </w:tc>
        <w:tc>
          <w:tcPr>
            <w:tcW w:w="1384" w:type="dxa"/>
            <w:vAlign w:val="center"/>
          </w:tcPr>
          <w:p w14:paraId="7F310880"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0.037</w:t>
            </w:r>
          </w:p>
        </w:tc>
        <w:tc>
          <w:tcPr>
            <w:tcW w:w="1522" w:type="dxa"/>
            <w:vAlign w:val="center"/>
          </w:tcPr>
          <w:p w14:paraId="17200579"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-0.130</w:t>
            </w:r>
          </w:p>
        </w:tc>
        <w:tc>
          <w:tcPr>
            <w:tcW w:w="1463" w:type="dxa"/>
            <w:vAlign w:val="center"/>
          </w:tcPr>
          <w:p w14:paraId="427EA6E2" w14:textId="77777777" w:rsidR="00BA2A15" w:rsidRPr="00494246" w:rsidRDefault="00BA2A15" w:rsidP="00ED2338">
            <w:pPr>
              <w:jc w:val="center"/>
              <w:rPr>
                <w:rFonts w:ascii="Arial" w:hAnsi="Arial" w:cs="Arial"/>
                <w:szCs w:val="20"/>
                <w:lang w:val="mn-MN"/>
              </w:rPr>
            </w:pPr>
            <w:r w:rsidRPr="00494246">
              <w:rPr>
                <w:rFonts w:ascii="Arial" w:hAnsi="Arial" w:cs="Arial"/>
                <w:szCs w:val="20"/>
                <w:lang w:val="mn-MN"/>
              </w:rPr>
              <w:t>0.203</w:t>
            </w:r>
          </w:p>
        </w:tc>
      </w:tr>
    </w:tbl>
    <w:p w14:paraId="799CA85E" w14:textId="675457DA" w:rsidR="00E05913" w:rsidRPr="00494246" w:rsidRDefault="00494246" w:rsidP="00ED2338">
      <w:pPr>
        <w:autoSpaceDE w:val="0"/>
        <w:autoSpaceDN w:val="0"/>
        <w:adjustRightInd w:val="0"/>
        <w:spacing w:after="0" w:line="240" w:lineRule="auto"/>
        <w:rPr>
          <w:rFonts w:ascii="Arial" w:hAnsi="Arial" w:cs="Arial"/>
          <w:i/>
          <w:iCs/>
          <w:sz w:val="18"/>
          <w:szCs w:val="18"/>
          <w:lang w:val="mn-MN"/>
        </w:rPr>
      </w:pPr>
      <w:r w:rsidRPr="00494246">
        <w:rPr>
          <w:rFonts w:ascii="Arial" w:hAnsi="Arial" w:cs="Arial"/>
          <w:i/>
          <w:iCs/>
          <w:sz w:val="18"/>
          <w:szCs w:val="18"/>
        </w:rPr>
        <w:t xml:space="preserve">B – </w:t>
      </w:r>
      <w:r w:rsidRPr="00494246">
        <w:rPr>
          <w:rFonts w:ascii="Arial" w:hAnsi="Arial" w:cs="Arial"/>
          <w:i/>
          <w:iCs/>
          <w:sz w:val="18"/>
          <w:szCs w:val="18"/>
          <w:lang w:val="mn-MN"/>
        </w:rPr>
        <w:t>Ординал регрессийн коэффициент</w:t>
      </w:r>
      <w:r>
        <w:rPr>
          <w:rFonts w:ascii="Arial" w:hAnsi="Arial" w:cs="Arial"/>
          <w:i/>
          <w:iCs/>
          <w:sz w:val="18"/>
          <w:szCs w:val="18"/>
          <w:lang w:val="mn-MN"/>
        </w:rPr>
        <w:t>, ИИ – Итгэх интервал</w:t>
      </w:r>
    </w:p>
    <w:p w14:paraId="2D2DE703" w14:textId="77777777" w:rsidR="007D10EF" w:rsidRDefault="007D10EF" w:rsidP="00ED2338">
      <w:pPr>
        <w:autoSpaceDE w:val="0"/>
        <w:autoSpaceDN w:val="0"/>
        <w:adjustRightInd w:val="0"/>
        <w:spacing w:after="0" w:line="240" w:lineRule="auto"/>
        <w:rPr>
          <w:rFonts w:ascii="Arial" w:hAnsi="Arial" w:cs="Arial"/>
          <w:b/>
          <w:sz w:val="24"/>
          <w:szCs w:val="24"/>
          <w:lang w:val="mn-MN"/>
        </w:rPr>
      </w:pPr>
    </w:p>
    <w:p w14:paraId="09F414FD" w14:textId="2B0275DE" w:rsidR="000D254C" w:rsidRPr="00822285" w:rsidRDefault="000D254C" w:rsidP="00ED2338">
      <w:pPr>
        <w:autoSpaceDE w:val="0"/>
        <w:autoSpaceDN w:val="0"/>
        <w:adjustRightInd w:val="0"/>
        <w:spacing w:after="0" w:line="240" w:lineRule="auto"/>
        <w:rPr>
          <w:rFonts w:ascii="Arial" w:hAnsi="Arial" w:cs="Arial"/>
          <w:b/>
          <w:sz w:val="24"/>
          <w:szCs w:val="24"/>
        </w:rPr>
      </w:pPr>
      <w:r w:rsidRPr="001C154A">
        <w:rPr>
          <w:rFonts w:ascii="Arial" w:hAnsi="Arial" w:cs="Arial"/>
          <w:b/>
          <w:sz w:val="24"/>
          <w:szCs w:val="24"/>
          <w:lang w:val="mn-MN"/>
        </w:rPr>
        <w:t>Хэлцэмж</w:t>
      </w:r>
    </w:p>
    <w:p w14:paraId="6FB2DEF2" w14:textId="42889E4E" w:rsidR="008E1AB0" w:rsidRDefault="00ED2508" w:rsidP="00ED2338">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mn-MN"/>
        </w:rPr>
        <w:t xml:space="preserve">Бид судалгаандаа  1 хүртэлх насандаа болор цайх өвчнийг ажигласан болон оношлогдсон, нүдний чичирхийлсэн хөдөлгөөнтэй, бөөмийн, туйлын морфологтой байгаа тохиолдолд төрөлхийн болор цайх өвчинтэй гэж үзсэн. </w:t>
      </w:r>
      <w:r w:rsidR="00142AC5" w:rsidRPr="00142AC5">
        <w:rPr>
          <w:rFonts w:ascii="Arial" w:hAnsi="Arial" w:cs="Arial"/>
          <w:sz w:val="24"/>
          <w:szCs w:val="24"/>
        </w:rPr>
        <w:t xml:space="preserve">Судлаачид төрөлхийн </w:t>
      </w:r>
      <w:r w:rsidR="00223709">
        <w:rPr>
          <w:rFonts w:ascii="Arial" w:hAnsi="Arial" w:cs="Arial"/>
          <w:sz w:val="24"/>
          <w:szCs w:val="24"/>
        </w:rPr>
        <w:t>болор цайх өвчний</w:t>
      </w:r>
      <w:r w:rsidR="00142AC5" w:rsidRPr="00142AC5">
        <w:rPr>
          <w:rFonts w:ascii="Arial" w:hAnsi="Arial" w:cs="Arial"/>
          <w:sz w:val="24"/>
          <w:szCs w:val="24"/>
        </w:rPr>
        <w:t xml:space="preserve"> үед мэс засал хүлээгдэх нь мэс заслын дараах </w:t>
      </w:r>
      <w:r w:rsidR="00142AC5" w:rsidRPr="00142AC5">
        <w:rPr>
          <w:rFonts w:ascii="Arial" w:hAnsi="Arial" w:cs="Arial"/>
          <w:sz w:val="24"/>
          <w:szCs w:val="24"/>
        </w:rPr>
        <w:lastRenderedPageBreak/>
        <w:t>харааны чадал сэргэлтэд ач холбогдол бүхий нөлөө үзүүлж болохыг мэдээлж байна. Тухайлбал, Бирч нарын судалгаагаар</w:t>
      </w:r>
      <w:r w:rsidR="00720E88">
        <w:rPr>
          <w:rFonts w:ascii="Arial" w:hAnsi="Arial" w:cs="Arial"/>
          <w:sz w:val="24"/>
          <w:szCs w:val="24"/>
          <w:vertAlign w:val="superscript"/>
          <w:lang w:val="mn-MN"/>
        </w:rPr>
        <w:t>6</w:t>
      </w:r>
      <w:r w:rsidR="00142AC5" w:rsidRPr="00142AC5">
        <w:rPr>
          <w:rFonts w:ascii="Arial" w:hAnsi="Arial" w:cs="Arial"/>
          <w:sz w:val="24"/>
          <w:szCs w:val="24"/>
        </w:rPr>
        <w:t xml:space="preserve"> 0-14 долоо хоногтой, болор цайх өвчин оношлогдсон тохиолдолд мэс засал хүлээгдсэн хугацаа ба мэс заслын дараах харааны чадал  хамааралтай байх ба мэс засалд орохгүйгээр хойшлогдсон 3 долоо хоног тутамд мэс заслын дараах харааны чадал 1 мөрөөр муудаж байгааг мэдээлжээ</w:t>
      </w:r>
      <w:r w:rsidR="00142AC5">
        <w:rPr>
          <w:rFonts w:ascii="Arial" w:hAnsi="Arial" w:cs="Arial"/>
          <w:sz w:val="24"/>
          <w:szCs w:val="24"/>
          <w:lang w:val="mn-MN"/>
        </w:rPr>
        <w:t>.</w:t>
      </w:r>
      <w:r w:rsidR="00142AC5" w:rsidRPr="00142AC5">
        <w:rPr>
          <w:rFonts w:ascii="Arial" w:hAnsi="Arial" w:cs="Arial"/>
          <w:sz w:val="24"/>
          <w:szCs w:val="24"/>
        </w:rPr>
        <w:t xml:space="preserve"> </w:t>
      </w:r>
      <w:r w:rsidR="00142AC5">
        <w:rPr>
          <w:rFonts w:ascii="Arial" w:hAnsi="Arial" w:cs="Arial"/>
          <w:sz w:val="24"/>
          <w:szCs w:val="24"/>
          <w:lang w:val="mn-MN"/>
        </w:rPr>
        <w:t>Т</w:t>
      </w:r>
      <w:r>
        <w:rPr>
          <w:rFonts w:ascii="Arial" w:hAnsi="Arial" w:cs="Arial"/>
          <w:sz w:val="24"/>
          <w:szCs w:val="24"/>
          <w:lang w:val="mn-MN"/>
        </w:rPr>
        <w:t xml:space="preserve">өрөлхийн </w:t>
      </w:r>
      <w:r w:rsidR="008E1AB0" w:rsidRPr="008E1AB0">
        <w:rPr>
          <w:rFonts w:ascii="Arial" w:hAnsi="Arial" w:cs="Arial"/>
          <w:sz w:val="24"/>
          <w:szCs w:val="24"/>
        </w:rPr>
        <w:t xml:space="preserve">болор цайх өвчин оношлогдсон нярайд  0-14 </w:t>
      </w:r>
      <w:r>
        <w:rPr>
          <w:rFonts w:ascii="Arial" w:hAnsi="Arial" w:cs="Arial"/>
          <w:sz w:val="24"/>
          <w:szCs w:val="24"/>
          <w:lang w:val="mn-MN"/>
        </w:rPr>
        <w:t xml:space="preserve">долоо </w:t>
      </w:r>
      <w:r w:rsidR="008E1AB0" w:rsidRPr="008E1AB0">
        <w:rPr>
          <w:rFonts w:ascii="Arial" w:hAnsi="Arial" w:cs="Arial"/>
          <w:sz w:val="24"/>
          <w:szCs w:val="24"/>
        </w:rPr>
        <w:t xml:space="preserve">хоногтойд </w:t>
      </w:r>
      <w:r>
        <w:rPr>
          <w:rFonts w:ascii="Arial" w:hAnsi="Arial" w:cs="Arial"/>
          <w:sz w:val="24"/>
          <w:szCs w:val="24"/>
          <w:lang w:val="mn-MN"/>
        </w:rPr>
        <w:t xml:space="preserve">болрын мэс засалд ороход </w:t>
      </w:r>
      <w:r w:rsidR="008E1AB0" w:rsidRPr="008E1AB0">
        <w:rPr>
          <w:rFonts w:ascii="Arial" w:hAnsi="Arial" w:cs="Arial"/>
          <w:sz w:val="24"/>
          <w:szCs w:val="24"/>
        </w:rPr>
        <w:t>харааны чадал</w:t>
      </w:r>
      <w:r>
        <w:rPr>
          <w:rFonts w:ascii="Arial" w:hAnsi="Arial" w:cs="Arial"/>
          <w:sz w:val="24"/>
          <w:szCs w:val="24"/>
          <w:lang w:val="mn-MN"/>
        </w:rPr>
        <w:t xml:space="preserve"> ба </w:t>
      </w:r>
      <w:r w:rsidR="008E1AB0" w:rsidRPr="008E1AB0">
        <w:rPr>
          <w:rFonts w:ascii="Arial" w:hAnsi="Arial" w:cs="Arial"/>
          <w:sz w:val="24"/>
          <w:szCs w:val="24"/>
        </w:rPr>
        <w:t>мэс засалд хойшлогдсон хугаца</w:t>
      </w:r>
      <w:r>
        <w:rPr>
          <w:rFonts w:ascii="Arial" w:hAnsi="Arial" w:cs="Arial"/>
          <w:sz w:val="24"/>
          <w:szCs w:val="24"/>
        </w:rPr>
        <w:t xml:space="preserve">а  хоёр шугаман хамааралтай байдаг </w:t>
      </w:r>
      <w:r w:rsidR="008E1AB0" w:rsidRPr="008E1AB0">
        <w:rPr>
          <w:rFonts w:ascii="Arial" w:hAnsi="Arial" w:cs="Arial"/>
          <w:sz w:val="24"/>
          <w:szCs w:val="24"/>
        </w:rPr>
        <w:t>бол 14-31 долоо</w:t>
      </w:r>
      <w:r>
        <w:rPr>
          <w:rFonts w:ascii="Arial" w:hAnsi="Arial" w:cs="Arial"/>
          <w:sz w:val="24"/>
          <w:szCs w:val="24"/>
        </w:rPr>
        <w:t xml:space="preserve"> хоног хүртэл хойшлогдсон тохиолдолд</w:t>
      </w:r>
      <w:r w:rsidR="008E1AB0" w:rsidRPr="008E1AB0">
        <w:rPr>
          <w:rFonts w:ascii="Arial" w:hAnsi="Arial" w:cs="Arial"/>
          <w:sz w:val="24"/>
          <w:szCs w:val="24"/>
        </w:rPr>
        <w:t xml:space="preserve"> харааны хувьд маш бага өөрчлөлтийг өгдөг байна.  Өөрөөр хэлбэл </w:t>
      </w:r>
      <w:r>
        <w:rPr>
          <w:rFonts w:ascii="Arial" w:hAnsi="Arial" w:cs="Arial"/>
          <w:sz w:val="24"/>
          <w:szCs w:val="24"/>
          <w:lang w:val="mn-MN"/>
        </w:rPr>
        <w:t xml:space="preserve">0-14 долоо хоногтойд </w:t>
      </w:r>
      <w:r w:rsidR="00142AC5" w:rsidRPr="008E1AB0">
        <w:rPr>
          <w:rFonts w:ascii="Arial" w:hAnsi="Arial" w:cs="Arial"/>
          <w:sz w:val="24"/>
          <w:szCs w:val="24"/>
        </w:rPr>
        <w:t>мэс засал</w:t>
      </w:r>
      <w:r w:rsidR="008E1AB0" w:rsidRPr="008E1AB0">
        <w:rPr>
          <w:rFonts w:ascii="Arial" w:hAnsi="Arial" w:cs="Arial"/>
          <w:sz w:val="24"/>
          <w:szCs w:val="24"/>
        </w:rPr>
        <w:t xml:space="preserve"> </w:t>
      </w:r>
      <w:r w:rsidR="00416E6A">
        <w:rPr>
          <w:rFonts w:ascii="Arial" w:hAnsi="Arial" w:cs="Arial"/>
          <w:sz w:val="24"/>
          <w:szCs w:val="24"/>
          <w:lang w:val="mn-MN"/>
        </w:rPr>
        <w:t xml:space="preserve">эмчилгээ </w:t>
      </w:r>
      <w:r w:rsidR="008E1AB0" w:rsidRPr="008E1AB0">
        <w:rPr>
          <w:rFonts w:ascii="Arial" w:hAnsi="Arial" w:cs="Arial"/>
          <w:sz w:val="24"/>
          <w:szCs w:val="24"/>
        </w:rPr>
        <w:t xml:space="preserve">хойшлогдох нь харааны үр дүнд </w:t>
      </w:r>
      <w:r w:rsidR="00416E6A">
        <w:rPr>
          <w:rFonts w:ascii="Arial" w:hAnsi="Arial" w:cs="Arial"/>
          <w:sz w:val="24"/>
          <w:szCs w:val="24"/>
        </w:rPr>
        <w:t xml:space="preserve">нөлөөлөх хамгийн чухал фактор болдог </w:t>
      </w:r>
      <w:r w:rsidR="008E1AB0" w:rsidRPr="008E1AB0">
        <w:rPr>
          <w:rFonts w:ascii="Arial" w:hAnsi="Arial" w:cs="Arial"/>
          <w:sz w:val="24"/>
          <w:szCs w:val="24"/>
        </w:rPr>
        <w:t xml:space="preserve">гэжээ. Харин 4 долоо хоногийн дотор мэс засалд орох нь14 </w:t>
      </w:r>
      <w:r w:rsidR="00EC0E5C">
        <w:rPr>
          <w:rFonts w:ascii="Arial" w:hAnsi="Arial" w:cs="Arial"/>
          <w:sz w:val="24"/>
          <w:szCs w:val="24"/>
          <w:lang w:val="mn-MN"/>
        </w:rPr>
        <w:t xml:space="preserve">долоо </w:t>
      </w:r>
      <w:r w:rsidR="008E1AB0" w:rsidRPr="008E1AB0">
        <w:rPr>
          <w:rFonts w:ascii="Arial" w:hAnsi="Arial" w:cs="Arial"/>
          <w:sz w:val="24"/>
          <w:szCs w:val="24"/>
        </w:rPr>
        <w:t xml:space="preserve">хоногоос хойш мэс засалд </w:t>
      </w:r>
      <w:r w:rsidR="00142AC5" w:rsidRPr="008E1AB0">
        <w:rPr>
          <w:rFonts w:ascii="Arial" w:hAnsi="Arial" w:cs="Arial"/>
          <w:sz w:val="24"/>
          <w:szCs w:val="24"/>
        </w:rPr>
        <w:t>орох үеэс</w:t>
      </w:r>
      <w:r w:rsidR="00EC0E5C">
        <w:rPr>
          <w:rFonts w:ascii="Arial" w:hAnsi="Arial" w:cs="Arial"/>
          <w:sz w:val="24"/>
          <w:szCs w:val="24"/>
        </w:rPr>
        <w:t xml:space="preserve"> хялар болон нистагм үүсэх эрсдэл </w:t>
      </w:r>
      <w:r w:rsidR="008E1AB0" w:rsidRPr="008E1AB0">
        <w:rPr>
          <w:rFonts w:ascii="Arial" w:hAnsi="Arial" w:cs="Arial"/>
          <w:sz w:val="24"/>
          <w:szCs w:val="24"/>
        </w:rPr>
        <w:t>эрс бага байдаг гэжээ. Гэхдээ хоёрдогч мембран үүсэх, нүдний даралт ихсэх эрсдэл өндөр болдог ажээ. Бидний судалгаанд мэс засалд орсон дундаж сар 5 сар байсан бол</w:t>
      </w:r>
      <w:r w:rsidR="00494246">
        <w:rPr>
          <w:rFonts w:ascii="Arial" w:hAnsi="Arial" w:cs="Arial"/>
          <w:sz w:val="24"/>
          <w:szCs w:val="24"/>
          <w:lang w:val="mn-MN"/>
        </w:rPr>
        <w:t xml:space="preserve"> Харт</w:t>
      </w:r>
      <w:r w:rsidR="008E1AB0" w:rsidRPr="008E1AB0">
        <w:rPr>
          <w:rFonts w:ascii="Arial" w:hAnsi="Arial" w:cs="Arial"/>
          <w:sz w:val="24"/>
          <w:szCs w:val="24"/>
        </w:rPr>
        <w:t xml:space="preserve"> нарын</w:t>
      </w:r>
      <w:r w:rsidR="00494246">
        <w:rPr>
          <w:rFonts w:ascii="Arial" w:hAnsi="Arial" w:cs="Arial"/>
          <w:sz w:val="24"/>
          <w:szCs w:val="24"/>
          <w:vertAlign w:val="superscript"/>
          <w:lang w:val="mn-MN"/>
        </w:rPr>
        <w:t>7</w:t>
      </w:r>
      <w:r w:rsidR="008E1AB0" w:rsidRPr="008E1AB0">
        <w:rPr>
          <w:rFonts w:ascii="Arial" w:hAnsi="Arial" w:cs="Arial"/>
          <w:sz w:val="24"/>
          <w:szCs w:val="24"/>
        </w:rPr>
        <w:t xml:space="preserve"> судалгаанд мэс засалд орсо</w:t>
      </w:r>
      <w:r w:rsidR="00065228">
        <w:rPr>
          <w:rFonts w:ascii="Arial" w:hAnsi="Arial" w:cs="Arial"/>
          <w:sz w:val="24"/>
          <w:szCs w:val="24"/>
        </w:rPr>
        <w:t xml:space="preserve">н дундаж сар 1,8 сар байсан </w:t>
      </w:r>
      <w:r w:rsidR="00720E88">
        <w:rPr>
          <w:rFonts w:ascii="Arial" w:hAnsi="Arial" w:cs="Arial"/>
          <w:sz w:val="24"/>
          <w:szCs w:val="24"/>
          <w:lang w:val="mn-MN"/>
        </w:rPr>
        <w:t xml:space="preserve">бидний судалгаанаас даруй 3 дахин эрт  хугацаанд мэс засалд орсон байгаа </w:t>
      </w:r>
      <w:r w:rsidR="00065228">
        <w:rPr>
          <w:rFonts w:ascii="Arial" w:hAnsi="Arial" w:cs="Arial"/>
          <w:sz w:val="24"/>
          <w:szCs w:val="24"/>
        </w:rPr>
        <w:t>б</w:t>
      </w:r>
      <w:r w:rsidR="00065228">
        <w:rPr>
          <w:rFonts w:ascii="Arial" w:hAnsi="Arial" w:cs="Arial"/>
          <w:sz w:val="24"/>
          <w:szCs w:val="24"/>
          <w:lang w:val="mn-MN"/>
        </w:rPr>
        <w:t xml:space="preserve">а 28-48 хоногтойдоо мэс засалд орох нь 49 хоногтойгоос дээш мэс засалд орсон хүүхдүүдээс харааны чадал илүү байна гэжээ. </w:t>
      </w:r>
      <w:r w:rsidR="00494246">
        <w:rPr>
          <w:rFonts w:ascii="Arial" w:hAnsi="Arial" w:cs="Arial"/>
          <w:sz w:val="24"/>
          <w:szCs w:val="24"/>
          <w:lang w:val="mn-MN"/>
        </w:rPr>
        <w:t xml:space="preserve">Скот, Ламберт </w:t>
      </w:r>
      <w:r w:rsidR="008E1AB0" w:rsidRPr="008E1AB0">
        <w:rPr>
          <w:rFonts w:ascii="Arial" w:hAnsi="Arial" w:cs="Arial"/>
          <w:sz w:val="24"/>
          <w:szCs w:val="24"/>
        </w:rPr>
        <w:t>нарын</w:t>
      </w:r>
      <w:r w:rsidR="00494246">
        <w:rPr>
          <w:rFonts w:ascii="Arial" w:hAnsi="Arial" w:cs="Arial"/>
          <w:sz w:val="24"/>
          <w:szCs w:val="24"/>
          <w:vertAlign w:val="superscript"/>
          <w:lang w:val="mn-MN"/>
        </w:rPr>
        <w:t>8</w:t>
      </w:r>
      <w:r w:rsidR="008E1AB0" w:rsidRPr="008E1AB0">
        <w:rPr>
          <w:rFonts w:ascii="Arial" w:hAnsi="Arial" w:cs="Arial"/>
          <w:sz w:val="24"/>
          <w:szCs w:val="24"/>
        </w:rPr>
        <w:t xml:space="preserve"> судалгаанд хэрэв </w:t>
      </w:r>
      <w:r w:rsidR="00142AC5">
        <w:rPr>
          <w:rFonts w:ascii="Arial" w:hAnsi="Arial" w:cs="Arial"/>
          <w:sz w:val="24"/>
          <w:szCs w:val="24"/>
          <w:lang w:val="mn-MN"/>
        </w:rPr>
        <w:t xml:space="preserve">болрын </w:t>
      </w:r>
      <w:r w:rsidR="008E1AB0" w:rsidRPr="008E1AB0">
        <w:rPr>
          <w:rFonts w:ascii="Arial" w:hAnsi="Arial" w:cs="Arial"/>
          <w:sz w:val="24"/>
          <w:szCs w:val="24"/>
        </w:rPr>
        <w:t>мэс заслыг 10 долоо хоногоос хойш орвол нистагм үүсэх ба ингэснээр харааны чадал 0</w:t>
      </w:r>
      <w:r w:rsidR="00494246">
        <w:rPr>
          <w:rFonts w:ascii="Arial" w:hAnsi="Arial" w:cs="Arial"/>
          <w:sz w:val="24"/>
          <w:szCs w:val="24"/>
          <w:lang w:val="mn-MN"/>
        </w:rPr>
        <w:t>.</w:t>
      </w:r>
      <w:r w:rsidR="00142AC5" w:rsidRPr="008E1AB0">
        <w:rPr>
          <w:rFonts w:ascii="Arial" w:hAnsi="Arial" w:cs="Arial"/>
          <w:sz w:val="24"/>
          <w:szCs w:val="24"/>
        </w:rPr>
        <w:t>2</w:t>
      </w:r>
      <w:r w:rsidR="008E1AB0" w:rsidRPr="008E1AB0">
        <w:rPr>
          <w:rFonts w:ascii="Arial" w:hAnsi="Arial" w:cs="Arial"/>
          <w:sz w:val="24"/>
          <w:szCs w:val="24"/>
        </w:rPr>
        <w:t xml:space="preserve"> ба түүнээс бага байдаг гэжээ.</w:t>
      </w:r>
    </w:p>
    <w:p w14:paraId="3C1FCDF2" w14:textId="77777777" w:rsidR="00DB50C3" w:rsidRPr="00DB50C3" w:rsidRDefault="00DB50C3" w:rsidP="00ED2338">
      <w:pPr>
        <w:autoSpaceDE w:val="0"/>
        <w:autoSpaceDN w:val="0"/>
        <w:adjustRightInd w:val="0"/>
        <w:spacing w:after="0" w:line="240" w:lineRule="auto"/>
        <w:jc w:val="both"/>
        <w:rPr>
          <w:rFonts w:ascii="Arial" w:hAnsi="Arial" w:cs="Arial"/>
          <w:sz w:val="24"/>
          <w:szCs w:val="24"/>
          <w:lang w:val="mn-MN"/>
        </w:rPr>
      </w:pPr>
    </w:p>
    <w:p w14:paraId="65B4DD68" w14:textId="2B08125B" w:rsidR="002D6292" w:rsidRPr="001C154A" w:rsidRDefault="002D6292" w:rsidP="00ED2338">
      <w:pPr>
        <w:autoSpaceDE w:val="0"/>
        <w:autoSpaceDN w:val="0"/>
        <w:adjustRightInd w:val="0"/>
        <w:spacing w:after="0" w:line="240" w:lineRule="auto"/>
        <w:rPr>
          <w:rFonts w:ascii="Arial" w:hAnsi="Arial" w:cs="Arial"/>
          <w:b/>
          <w:sz w:val="24"/>
          <w:szCs w:val="24"/>
          <w:lang w:val="mn-MN"/>
        </w:rPr>
      </w:pPr>
      <w:r w:rsidRPr="001C154A">
        <w:rPr>
          <w:rFonts w:ascii="Arial" w:hAnsi="Arial" w:cs="Arial"/>
          <w:b/>
          <w:sz w:val="24"/>
          <w:szCs w:val="24"/>
          <w:lang w:val="mn-MN"/>
        </w:rPr>
        <w:t xml:space="preserve">Дүгнэлт </w:t>
      </w:r>
    </w:p>
    <w:p w14:paraId="65A84D53" w14:textId="6780B3D4" w:rsidR="00787083" w:rsidRDefault="002D6292" w:rsidP="00ED2338">
      <w:pPr>
        <w:autoSpaceDE w:val="0"/>
        <w:autoSpaceDN w:val="0"/>
        <w:adjustRightInd w:val="0"/>
        <w:spacing w:after="0" w:line="240" w:lineRule="auto"/>
        <w:jc w:val="both"/>
        <w:rPr>
          <w:rFonts w:ascii="Arial" w:hAnsi="Arial" w:cs="Arial"/>
          <w:sz w:val="24"/>
          <w:szCs w:val="24"/>
          <w:lang w:val="mn-MN"/>
        </w:rPr>
      </w:pPr>
      <w:r w:rsidRPr="007D10EF">
        <w:rPr>
          <w:rFonts w:ascii="Arial" w:hAnsi="Arial" w:cs="Arial"/>
          <w:sz w:val="24"/>
          <w:szCs w:val="24"/>
          <w:lang w:val="mn-MN"/>
        </w:rPr>
        <w:t xml:space="preserve">Төрөлхийн болор цайх өвчин дунджаар 2.18 сартайдаа оношлогдон, оношлогдсноосоо хойш дунджаар 2 сарын дараа мэс засалд орж байна. </w:t>
      </w:r>
      <w:r>
        <w:rPr>
          <w:rFonts w:ascii="Arial" w:hAnsi="Arial" w:cs="Arial"/>
          <w:sz w:val="24"/>
          <w:szCs w:val="24"/>
          <w:lang w:val="mn-MN"/>
        </w:rPr>
        <w:t>Мэс заслын дараах харааны чадал 48</w:t>
      </w:r>
      <w:r>
        <w:rPr>
          <w:rFonts w:ascii="Arial" w:hAnsi="Arial" w:cs="Arial"/>
          <w:sz w:val="24"/>
          <w:szCs w:val="24"/>
        </w:rPr>
        <w:t>%-</w:t>
      </w:r>
      <w:r>
        <w:rPr>
          <w:rFonts w:ascii="Arial" w:hAnsi="Arial" w:cs="Arial"/>
          <w:sz w:val="24"/>
          <w:szCs w:val="24"/>
          <w:lang w:val="mn-MN"/>
        </w:rPr>
        <w:t>д нь харааны чадал 0.1</w:t>
      </w:r>
      <w:r>
        <w:rPr>
          <w:rFonts w:ascii="Arial" w:hAnsi="Arial" w:cs="Arial"/>
          <w:sz w:val="24"/>
          <w:szCs w:val="24"/>
        </w:rPr>
        <w:t xml:space="preserve">&lt; </w:t>
      </w:r>
      <w:r>
        <w:rPr>
          <w:rFonts w:ascii="Arial" w:hAnsi="Arial" w:cs="Arial"/>
          <w:sz w:val="24"/>
          <w:szCs w:val="24"/>
          <w:lang w:val="mn-MN"/>
        </w:rPr>
        <w:t>бол 52</w:t>
      </w:r>
      <w:r>
        <w:rPr>
          <w:rFonts w:ascii="Arial" w:hAnsi="Arial" w:cs="Arial"/>
          <w:sz w:val="24"/>
          <w:szCs w:val="24"/>
        </w:rPr>
        <w:t>%-д нь &lt;</w:t>
      </w:r>
      <w:r>
        <w:rPr>
          <w:rFonts w:ascii="Arial" w:hAnsi="Arial" w:cs="Arial"/>
          <w:sz w:val="24"/>
          <w:szCs w:val="24"/>
          <w:lang w:val="mn-MN"/>
        </w:rPr>
        <w:t>0.09</w:t>
      </w:r>
      <w:r>
        <w:rPr>
          <w:rFonts w:ascii="Arial" w:hAnsi="Arial" w:cs="Arial"/>
          <w:sz w:val="24"/>
          <w:szCs w:val="24"/>
        </w:rPr>
        <w:t xml:space="preserve"> </w:t>
      </w:r>
      <w:r>
        <w:rPr>
          <w:rFonts w:ascii="Arial" w:hAnsi="Arial" w:cs="Arial"/>
          <w:sz w:val="24"/>
          <w:szCs w:val="24"/>
          <w:lang w:val="mn-MN"/>
        </w:rPr>
        <w:t xml:space="preserve">байна. </w:t>
      </w:r>
      <w:r w:rsidR="00BC7B24" w:rsidRPr="00787083">
        <w:rPr>
          <w:rFonts w:ascii="Arial" w:hAnsi="Arial" w:cs="Arial"/>
          <w:sz w:val="24"/>
          <w:szCs w:val="24"/>
          <w:lang w:val="mn-MN"/>
        </w:rPr>
        <w:t xml:space="preserve">Мэс заслын дараах харааны чадал бага  буюу </w:t>
      </w:r>
      <w:r w:rsidR="00BC7B24" w:rsidRPr="00787083">
        <w:rPr>
          <w:rFonts w:ascii="Arial" w:hAnsi="Arial" w:cs="Arial"/>
          <w:sz w:val="24"/>
          <w:szCs w:val="24"/>
        </w:rPr>
        <w:t>&lt;</w:t>
      </w:r>
      <w:r w:rsidR="00BC7B24" w:rsidRPr="00787083">
        <w:rPr>
          <w:rFonts w:ascii="Arial" w:hAnsi="Arial" w:cs="Arial"/>
          <w:sz w:val="24"/>
          <w:szCs w:val="24"/>
          <w:lang w:val="mn-MN"/>
        </w:rPr>
        <w:t>0</w:t>
      </w:r>
      <w:r w:rsidR="00494246">
        <w:rPr>
          <w:rFonts w:ascii="Arial" w:hAnsi="Arial" w:cs="Arial"/>
          <w:sz w:val="24"/>
          <w:szCs w:val="24"/>
          <w:lang w:val="mn-MN"/>
        </w:rPr>
        <w:t>.</w:t>
      </w:r>
      <w:r w:rsidR="00BC7B24" w:rsidRPr="00787083">
        <w:rPr>
          <w:rFonts w:ascii="Arial" w:hAnsi="Arial" w:cs="Arial"/>
          <w:sz w:val="24"/>
          <w:szCs w:val="24"/>
          <w:lang w:val="mn-MN"/>
        </w:rPr>
        <w:t>09 бага байх эрсдлийг хүүхдийн мэс засад орсон нас, хүлээгдлийн хугацаа нэмэгдүүлж байна.</w:t>
      </w:r>
    </w:p>
    <w:p w14:paraId="4F7FAD46" w14:textId="77777777" w:rsidR="00ED2338" w:rsidRDefault="00ED2338" w:rsidP="00ED2338">
      <w:pPr>
        <w:autoSpaceDE w:val="0"/>
        <w:autoSpaceDN w:val="0"/>
        <w:adjustRightInd w:val="0"/>
        <w:spacing w:after="0" w:line="240" w:lineRule="auto"/>
        <w:jc w:val="both"/>
        <w:rPr>
          <w:rFonts w:ascii="Arial" w:hAnsi="Arial" w:cs="Arial"/>
          <w:sz w:val="24"/>
          <w:szCs w:val="24"/>
          <w:lang w:val="mn-MN"/>
        </w:rPr>
      </w:pPr>
    </w:p>
    <w:p w14:paraId="3ADF48CE" w14:textId="77777777" w:rsidR="00787083" w:rsidRPr="00C9624E" w:rsidRDefault="00787083" w:rsidP="00ED2338">
      <w:pPr>
        <w:autoSpaceDE w:val="0"/>
        <w:autoSpaceDN w:val="0"/>
        <w:adjustRightInd w:val="0"/>
        <w:spacing w:after="0" w:line="240" w:lineRule="auto"/>
        <w:jc w:val="both"/>
        <w:rPr>
          <w:rFonts w:ascii="Arial" w:hAnsi="Arial" w:cs="Arial"/>
          <w:b/>
          <w:sz w:val="24"/>
          <w:szCs w:val="24"/>
          <w:lang w:val="mn-MN"/>
        </w:rPr>
      </w:pPr>
      <w:r w:rsidRPr="00C9624E">
        <w:rPr>
          <w:rFonts w:ascii="Arial" w:hAnsi="Arial" w:cs="Arial"/>
          <w:b/>
          <w:sz w:val="24"/>
          <w:szCs w:val="24"/>
          <w:lang w:val="mn-MN"/>
        </w:rPr>
        <w:t>Зөвлөмж</w:t>
      </w:r>
    </w:p>
    <w:p w14:paraId="5BD6B4AD" w14:textId="7327F46D" w:rsidR="00787083" w:rsidRDefault="006D4416" w:rsidP="00ED2338">
      <w:pPr>
        <w:autoSpaceDE w:val="0"/>
        <w:autoSpaceDN w:val="0"/>
        <w:adjustRightInd w:val="0"/>
        <w:spacing w:line="240" w:lineRule="auto"/>
        <w:jc w:val="both"/>
        <w:rPr>
          <w:rFonts w:ascii="Arial" w:hAnsi="Arial" w:cs="Arial"/>
          <w:sz w:val="24"/>
          <w:szCs w:val="24"/>
        </w:rPr>
      </w:pPr>
      <w:r w:rsidRPr="007D10EF">
        <w:rPr>
          <w:rFonts w:ascii="Arial" w:hAnsi="Arial" w:cs="Arial"/>
          <w:sz w:val="24"/>
          <w:szCs w:val="24"/>
          <w:lang w:val="mn-MN"/>
        </w:rPr>
        <w:t>Хоёр</w:t>
      </w:r>
      <w:r w:rsidR="00494246">
        <w:rPr>
          <w:rFonts w:ascii="Arial" w:hAnsi="Arial" w:cs="Arial"/>
          <w:sz w:val="24"/>
          <w:szCs w:val="24"/>
          <w:lang w:val="mn-MN"/>
        </w:rPr>
        <w:t xml:space="preserve"> </w:t>
      </w:r>
      <w:r w:rsidRPr="007D10EF">
        <w:rPr>
          <w:rFonts w:ascii="Arial" w:hAnsi="Arial" w:cs="Arial"/>
          <w:sz w:val="24"/>
          <w:szCs w:val="24"/>
          <w:lang w:val="mn-MN"/>
        </w:rPr>
        <w:t xml:space="preserve">нүдний </w:t>
      </w:r>
      <w:r w:rsidR="009F6CB6" w:rsidRPr="007D10EF">
        <w:rPr>
          <w:rFonts w:ascii="Arial" w:hAnsi="Arial" w:cs="Arial"/>
          <w:sz w:val="24"/>
          <w:szCs w:val="24"/>
          <w:lang w:val="mn-MN"/>
        </w:rPr>
        <w:t>болор цайх өвчнийг</w:t>
      </w:r>
      <w:r w:rsidRPr="007D10EF">
        <w:rPr>
          <w:rFonts w:ascii="Arial" w:hAnsi="Arial" w:cs="Arial"/>
          <w:sz w:val="24"/>
          <w:szCs w:val="24"/>
          <w:lang w:val="mn-MN"/>
        </w:rPr>
        <w:t xml:space="preserve"> эрт оношлох, оношлогдсон тохиолдолд</w:t>
      </w:r>
      <w:r w:rsidR="007D10EF">
        <w:rPr>
          <w:rFonts w:ascii="Arial" w:hAnsi="Arial" w:cs="Arial"/>
          <w:sz w:val="24"/>
          <w:szCs w:val="24"/>
          <w:lang w:val="mn-MN"/>
        </w:rPr>
        <w:t xml:space="preserve"> </w:t>
      </w:r>
      <w:r w:rsidRPr="007D10EF">
        <w:rPr>
          <w:rFonts w:ascii="Arial" w:hAnsi="Arial" w:cs="Arial"/>
          <w:sz w:val="24"/>
          <w:szCs w:val="24"/>
          <w:lang w:val="mn-MN"/>
        </w:rPr>
        <w:t>хойшлуулашгүй заалтаар мэс засал эмчилгээ хийх нь мэс заслын дараах харааны  чадлыг нэмэгдүүлж амьдралын чанарыг дээшлүүлдэг</w:t>
      </w:r>
      <w:r w:rsidR="00787083" w:rsidRPr="007D10EF">
        <w:rPr>
          <w:rFonts w:ascii="Arial" w:hAnsi="Arial" w:cs="Arial"/>
          <w:sz w:val="24"/>
          <w:szCs w:val="24"/>
        </w:rPr>
        <w:t>.</w:t>
      </w:r>
    </w:p>
    <w:p w14:paraId="56DE304E" w14:textId="77777777" w:rsidR="00787083" w:rsidRPr="00C9624E" w:rsidRDefault="00787083" w:rsidP="00ED2338">
      <w:pPr>
        <w:pStyle w:val="ListParagraph"/>
        <w:autoSpaceDE w:val="0"/>
        <w:autoSpaceDN w:val="0"/>
        <w:adjustRightInd w:val="0"/>
        <w:spacing w:line="240" w:lineRule="auto"/>
        <w:ind w:left="0"/>
        <w:rPr>
          <w:rFonts w:ascii="Arial" w:hAnsi="Arial" w:cs="Arial"/>
          <w:b/>
          <w:sz w:val="24"/>
          <w:szCs w:val="24"/>
          <w:lang w:val="mn-MN"/>
        </w:rPr>
      </w:pPr>
      <w:r w:rsidRPr="00C9624E">
        <w:rPr>
          <w:rFonts w:ascii="Arial" w:hAnsi="Arial" w:cs="Arial"/>
          <w:b/>
          <w:sz w:val="24"/>
          <w:szCs w:val="24"/>
          <w:lang w:val="mn-MN"/>
        </w:rPr>
        <w:t>Ном зүй</w:t>
      </w:r>
    </w:p>
    <w:p w14:paraId="24F009E9" w14:textId="77777777" w:rsidR="00DB50C3" w:rsidRPr="00ED2338" w:rsidRDefault="00DB50C3" w:rsidP="00ED2338">
      <w:pPr>
        <w:spacing w:after="0" w:line="240" w:lineRule="auto"/>
        <w:jc w:val="both"/>
        <w:rPr>
          <w:rFonts w:ascii="Arial" w:hAnsi="Arial" w:cs="Arial"/>
          <w:i/>
          <w:iCs/>
          <w:sz w:val="24"/>
          <w:szCs w:val="24"/>
        </w:rPr>
      </w:pPr>
      <w:r w:rsidRPr="00ED2338">
        <w:rPr>
          <w:rFonts w:ascii="Arial" w:hAnsi="Arial" w:cs="Arial"/>
          <w:i/>
          <w:iCs/>
          <w:sz w:val="24"/>
          <w:szCs w:val="24"/>
          <w:lang w:val="mn-MN"/>
        </w:rPr>
        <w:t xml:space="preserve">1. </w:t>
      </w:r>
      <w:r w:rsidRPr="00ED2338">
        <w:rPr>
          <w:rFonts w:ascii="Arial" w:hAnsi="Arial" w:cs="Arial"/>
          <w:i/>
          <w:iCs/>
          <w:sz w:val="24"/>
          <w:szCs w:val="24"/>
        </w:rPr>
        <w:t>Harley, R.; Nelson, L.; Olitsky, S. Harley’s Pediatric Ophthalmology. Lippincott Williams &amp; Wilkins; New York: 2005.</w:t>
      </w:r>
    </w:p>
    <w:p w14:paraId="27B906DD"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2.</w:t>
      </w:r>
      <w:r w:rsidRPr="00ED2338">
        <w:rPr>
          <w:rFonts w:ascii="Arial" w:hAnsi="Arial" w:cs="Arial"/>
          <w:i/>
          <w:iCs/>
          <w:sz w:val="24"/>
          <w:szCs w:val="24"/>
        </w:rPr>
        <w:t xml:space="preserve"> </w:t>
      </w:r>
      <w:r w:rsidRPr="00ED2338">
        <w:rPr>
          <w:rFonts w:ascii="Arial" w:hAnsi="Arial" w:cs="Arial"/>
          <w:i/>
          <w:iCs/>
          <w:sz w:val="24"/>
          <w:szCs w:val="24"/>
          <w:lang w:val="mn-MN"/>
        </w:rPr>
        <w:t>M. Zegarra</w:t>
      </w:r>
      <w:r w:rsidRPr="00ED2338">
        <w:rPr>
          <w:rFonts w:ascii="Arial" w:hAnsi="Arial" w:cs="Arial"/>
          <w:i/>
          <w:iCs/>
          <w:sz w:val="24"/>
          <w:szCs w:val="24"/>
          <w:vertAlign w:val="superscript"/>
          <w:lang w:val="mn-MN"/>
        </w:rPr>
        <w:t>1</w:t>
      </w:r>
      <w:r w:rsidRPr="00ED2338">
        <w:rPr>
          <w:rFonts w:ascii="Arial" w:hAnsi="Arial" w:cs="Arial"/>
          <w:i/>
          <w:iCs/>
          <w:sz w:val="24"/>
          <w:szCs w:val="24"/>
          <w:lang w:val="mn-MN"/>
        </w:rPr>
        <w:t>, G.H Burga</w:t>
      </w:r>
      <w:r w:rsidRPr="00ED2338">
        <w:rPr>
          <w:rFonts w:ascii="Arial" w:hAnsi="Arial" w:cs="Arial"/>
          <w:i/>
          <w:iCs/>
          <w:sz w:val="24"/>
          <w:szCs w:val="24"/>
          <w:vertAlign w:val="superscript"/>
          <w:lang w:val="mn-MN"/>
        </w:rPr>
        <w:t>2</w:t>
      </w:r>
      <w:r w:rsidRPr="00ED2338">
        <w:rPr>
          <w:rFonts w:ascii="Arial" w:hAnsi="Arial" w:cs="Arial"/>
          <w:i/>
          <w:iCs/>
          <w:sz w:val="24"/>
          <w:szCs w:val="24"/>
          <w:lang w:val="mn-MN"/>
        </w:rPr>
        <w:t xml:space="preserve">,  Late diagnosis and surgical treatment of patients diagnosed with unilateral congenital cataract at Fundación Visión, in Asuncion, Paraguay Arq Bras Oftalmol. 2014;77(5):297-9 </w:t>
      </w:r>
    </w:p>
    <w:p w14:paraId="00491040"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3. S.Sheeladev et all. Delay in presentation to hospital for childhood cataract surgery in India, Eye (2018) 32:1811–8</w:t>
      </w:r>
    </w:p>
    <w:p w14:paraId="0E011110"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4. S.K. Agra   Etiology and management of congenital cataract, Indian J. Pediatr 1987;54:673-7</w:t>
      </w:r>
    </w:p>
    <w:p w14:paraId="59F853ED"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5.</w:t>
      </w:r>
      <w:r w:rsidRPr="00ED2338">
        <w:rPr>
          <w:rFonts w:ascii="Arial" w:hAnsi="Arial" w:cs="Arial"/>
          <w:i/>
          <w:iCs/>
          <w:sz w:val="24"/>
          <w:szCs w:val="24"/>
        </w:rPr>
        <w:t xml:space="preserve"> </w:t>
      </w:r>
      <w:r w:rsidRPr="00ED2338">
        <w:rPr>
          <w:rFonts w:ascii="Arial" w:hAnsi="Arial" w:cs="Arial"/>
          <w:i/>
          <w:iCs/>
          <w:sz w:val="24"/>
          <w:szCs w:val="24"/>
          <w:lang w:val="mn-MN"/>
        </w:rPr>
        <w:t xml:space="preserve">Lambert SR, Lynn MJ, Reeves R, et al. Is there a latent period for the surgical treatment of children with dense bilateral congenital cataracts? J AAPOS. 2006;10(1):30‒36  </w:t>
      </w:r>
    </w:p>
    <w:p w14:paraId="26B88D63"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lastRenderedPageBreak/>
        <w:t>6. Eileen E Birch, Ph.D The Critical Period for Surgical Treatment of Dense Congenital Bilateral Cataracts J AAPOS. 2009 February; 13(1): 67–71. doi:10.1016/j.jaapos.2008.07.010.</w:t>
      </w:r>
    </w:p>
    <w:p w14:paraId="1114D64D"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7. E. Eugenie Hartmann,</w:t>
      </w:r>
      <w:r w:rsidRPr="00ED2338">
        <w:rPr>
          <w:rFonts w:ascii="Arial" w:hAnsi="Arial" w:cs="Arial"/>
          <w:i/>
          <w:iCs/>
          <w:sz w:val="24"/>
          <w:szCs w:val="24"/>
          <w:vertAlign w:val="superscript"/>
          <w:lang w:val="mn-MN"/>
        </w:rPr>
        <w:t>1</w:t>
      </w:r>
      <w:r w:rsidRPr="00ED2338">
        <w:rPr>
          <w:rFonts w:ascii="Arial" w:hAnsi="Arial" w:cs="Arial"/>
          <w:i/>
          <w:iCs/>
          <w:sz w:val="24"/>
          <w:szCs w:val="24"/>
          <w:lang w:val="mn-MN"/>
        </w:rPr>
        <w:t xml:space="preserve"> Michael J. Lynn,</w:t>
      </w:r>
      <w:r w:rsidRPr="00ED2338">
        <w:rPr>
          <w:rFonts w:ascii="Arial" w:hAnsi="Arial" w:cs="Arial"/>
          <w:i/>
          <w:iCs/>
          <w:sz w:val="24"/>
          <w:szCs w:val="24"/>
          <w:vertAlign w:val="superscript"/>
          <w:lang w:val="mn-MN"/>
        </w:rPr>
        <w:t>2</w:t>
      </w:r>
      <w:r w:rsidRPr="00ED2338">
        <w:rPr>
          <w:rFonts w:ascii="Arial" w:hAnsi="Arial" w:cs="Arial"/>
          <w:i/>
          <w:iCs/>
          <w:sz w:val="24"/>
          <w:szCs w:val="24"/>
          <w:lang w:val="mn-MN"/>
        </w:rPr>
        <w:t xml:space="preserve"> and Scott R. Lambert</w:t>
      </w:r>
      <w:r w:rsidRPr="00ED2338">
        <w:rPr>
          <w:rFonts w:ascii="Arial" w:hAnsi="Arial" w:cs="Arial"/>
          <w:i/>
          <w:iCs/>
          <w:sz w:val="24"/>
          <w:szCs w:val="24"/>
          <w:vertAlign w:val="superscript"/>
          <w:lang w:val="mn-MN"/>
        </w:rPr>
        <w:t>3</w:t>
      </w:r>
      <w:r w:rsidRPr="00ED2338">
        <w:rPr>
          <w:rFonts w:ascii="Arial" w:hAnsi="Arial" w:cs="Arial"/>
          <w:i/>
          <w:iCs/>
          <w:sz w:val="24"/>
          <w:szCs w:val="24"/>
          <w:lang w:val="mn-MN"/>
        </w:rPr>
        <w:t>; for the Infant Aphakia Treatment</w:t>
      </w:r>
    </w:p>
    <w:p w14:paraId="676DF873"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Study Group, Baseline Characteristics of the Infant Aphakia Treatment Study Population: Predicting Recognition Acuity at 4.5 Years of Age Invest Ophthalmol Vis Sci. 2015;56:388–395. DOI:10.1167/ iovs.14-15464</w:t>
      </w:r>
    </w:p>
    <w:p w14:paraId="00E141A0" w14:textId="77777777" w:rsidR="00DB50C3" w:rsidRPr="00ED2338" w:rsidRDefault="00DB50C3" w:rsidP="00ED2338">
      <w:pPr>
        <w:spacing w:after="0" w:line="240" w:lineRule="auto"/>
        <w:jc w:val="both"/>
        <w:rPr>
          <w:rFonts w:ascii="Arial" w:hAnsi="Arial" w:cs="Arial"/>
          <w:i/>
          <w:iCs/>
          <w:sz w:val="24"/>
          <w:szCs w:val="24"/>
          <w:lang w:val="mn-MN"/>
        </w:rPr>
      </w:pPr>
      <w:r w:rsidRPr="00ED2338">
        <w:rPr>
          <w:rFonts w:ascii="Arial" w:hAnsi="Arial" w:cs="Arial"/>
          <w:i/>
          <w:iCs/>
          <w:sz w:val="24"/>
          <w:szCs w:val="24"/>
          <w:lang w:val="mn-MN"/>
        </w:rPr>
        <w:t>8. Scott R. Lambert, M.D, The Timing of surgery for congenital cataracts: Minimizing the risk of glaucoma following cataract surgery while optimizing the visual outcome.</w:t>
      </w:r>
      <w:r w:rsidRPr="00ED2338">
        <w:rPr>
          <w:rFonts w:ascii="Arial" w:hAnsi="Arial" w:cs="Arial"/>
          <w:i/>
          <w:iCs/>
          <w:sz w:val="24"/>
          <w:szCs w:val="24"/>
        </w:rPr>
        <w:t xml:space="preserve"> </w:t>
      </w:r>
      <w:r w:rsidRPr="00ED2338">
        <w:rPr>
          <w:rFonts w:ascii="Arial" w:hAnsi="Arial" w:cs="Arial"/>
          <w:i/>
          <w:iCs/>
          <w:sz w:val="24"/>
          <w:szCs w:val="24"/>
          <w:lang w:val="mn-MN"/>
        </w:rPr>
        <w:t xml:space="preserve">J AAPOS. 2016 June ; 20(3): 191–192. doi:10.1016/j.jaapos.2016.04.003. </w:t>
      </w:r>
    </w:p>
    <w:p w14:paraId="5C9F558A" w14:textId="77777777" w:rsidR="00787083" w:rsidRPr="00ED2338" w:rsidRDefault="00787083" w:rsidP="00ED2338">
      <w:pPr>
        <w:pStyle w:val="ListParagraph"/>
        <w:autoSpaceDE w:val="0"/>
        <w:autoSpaceDN w:val="0"/>
        <w:adjustRightInd w:val="0"/>
        <w:spacing w:after="0" w:line="240" w:lineRule="auto"/>
        <w:jc w:val="both"/>
        <w:rPr>
          <w:rFonts w:ascii="Arial" w:hAnsi="Arial" w:cs="Arial"/>
          <w:sz w:val="32"/>
          <w:szCs w:val="32"/>
          <w:lang w:val="mn-MN"/>
        </w:rPr>
      </w:pPr>
    </w:p>
    <w:sectPr w:rsidR="00787083" w:rsidRPr="00ED23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3481A"/>
    <w:multiLevelType w:val="hybridMultilevel"/>
    <w:tmpl w:val="AB52F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620419"/>
    <w:multiLevelType w:val="hybridMultilevel"/>
    <w:tmpl w:val="A8D68546"/>
    <w:lvl w:ilvl="0" w:tplc="70A62DDE">
      <w:start w:val="1"/>
      <w:numFmt w:val="bullet"/>
      <w:lvlText w:val=""/>
      <w:lvlJc w:val="left"/>
      <w:pPr>
        <w:tabs>
          <w:tab w:val="num" w:pos="720"/>
        </w:tabs>
        <w:ind w:left="720" w:hanging="360"/>
      </w:pPr>
      <w:rPr>
        <w:rFonts w:ascii="Wingdings" w:hAnsi="Wingdings" w:hint="default"/>
      </w:rPr>
    </w:lvl>
    <w:lvl w:ilvl="1" w:tplc="2900351E" w:tentative="1">
      <w:start w:val="1"/>
      <w:numFmt w:val="bullet"/>
      <w:lvlText w:val=""/>
      <w:lvlJc w:val="left"/>
      <w:pPr>
        <w:tabs>
          <w:tab w:val="num" w:pos="1440"/>
        </w:tabs>
        <w:ind w:left="1440" w:hanging="360"/>
      </w:pPr>
      <w:rPr>
        <w:rFonts w:ascii="Wingdings" w:hAnsi="Wingdings" w:hint="default"/>
      </w:rPr>
    </w:lvl>
    <w:lvl w:ilvl="2" w:tplc="23642510" w:tentative="1">
      <w:start w:val="1"/>
      <w:numFmt w:val="bullet"/>
      <w:lvlText w:val=""/>
      <w:lvlJc w:val="left"/>
      <w:pPr>
        <w:tabs>
          <w:tab w:val="num" w:pos="2160"/>
        </w:tabs>
        <w:ind w:left="2160" w:hanging="360"/>
      </w:pPr>
      <w:rPr>
        <w:rFonts w:ascii="Wingdings" w:hAnsi="Wingdings" w:hint="default"/>
      </w:rPr>
    </w:lvl>
    <w:lvl w:ilvl="3" w:tplc="3BFC9170" w:tentative="1">
      <w:start w:val="1"/>
      <w:numFmt w:val="bullet"/>
      <w:lvlText w:val=""/>
      <w:lvlJc w:val="left"/>
      <w:pPr>
        <w:tabs>
          <w:tab w:val="num" w:pos="2880"/>
        </w:tabs>
        <w:ind w:left="2880" w:hanging="360"/>
      </w:pPr>
      <w:rPr>
        <w:rFonts w:ascii="Wingdings" w:hAnsi="Wingdings" w:hint="default"/>
      </w:rPr>
    </w:lvl>
    <w:lvl w:ilvl="4" w:tplc="E15E6812" w:tentative="1">
      <w:start w:val="1"/>
      <w:numFmt w:val="bullet"/>
      <w:lvlText w:val=""/>
      <w:lvlJc w:val="left"/>
      <w:pPr>
        <w:tabs>
          <w:tab w:val="num" w:pos="3600"/>
        </w:tabs>
        <w:ind w:left="3600" w:hanging="360"/>
      </w:pPr>
      <w:rPr>
        <w:rFonts w:ascii="Wingdings" w:hAnsi="Wingdings" w:hint="default"/>
      </w:rPr>
    </w:lvl>
    <w:lvl w:ilvl="5" w:tplc="D56063F6" w:tentative="1">
      <w:start w:val="1"/>
      <w:numFmt w:val="bullet"/>
      <w:lvlText w:val=""/>
      <w:lvlJc w:val="left"/>
      <w:pPr>
        <w:tabs>
          <w:tab w:val="num" w:pos="4320"/>
        </w:tabs>
        <w:ind w:left="4320" w:hanging="360"/>
      </w:pPr>
      <w:rPr>
        <w:rFonts w:ascii="Wingdings" w:hAnsi="Wingdings" w:hint="default"/>
      </w:rPr>
    </w:lvl>
    <w:lvl w:ilvl="6" w:tplc="5EC06DC0" w:tentative="1">
      <w:start w:val="1"/>
      <w:numFmt w:val="bullet"/>
      <w:lvlText w:val=""/>
      <w:lvlJc w:val="left"/>
      <w:pPr>
        <w:tabs>
          <w:tab w:val="num" w:pos="5040"/>
        </w:tabs>
        <w:ind w:left="5040" w:hanging="360"/>
      </w:pPr>
      <w:rPr>
        <w:rFonts w:ascii="Wingdings" w:hAnsi="Wingdings" w:hint="default"/>
      </w:rPr>
    </w:lvl>
    <w:lvl w:ilvl="7" w:tplc="EA9C0CEE" w:tentative="1">
      <w:start w:val="1"/>
      <w:numFmt w:val="bullet"/>
      <w:lvlText w:val=""/>
      <w:lvlJc w:val="left"/>
      <w:pPr>
        <w:tabs>
          <w:tab w:val="num" w:pos="5760"/>
        </w:tabs>
        <w:ind w:left="5760" w:hanging="360"/>
      </w:pPr>
      <w:rPr>
        <w:rFonts w:ascii="Wingdings" w:hAnsi="Wingdings" w:hint="default"/>
      </w:rPr>
    </w:lvl>
    <w:lvl w:ilvl="8" w:tplc="760AD4B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616FB5"/>
    <w:multiLevelType w:val="hybridMultilevel"/>
    <w:tmpl w:val="4DC4A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C77053"/>
    <w:multiLevelType w:val="hybridMultilevel"/>
    <w:tmpl w:val="92A096B2"/>
    <w:lvl w:ilvl="0" w:tplc="0409000F">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026"/>
    <w:rsid w:val="00054A9D"/>
    <w:rsid w:val="00065228"/>
    <w:rsid w:val="000D254C"/>
    <w:rsid w:val="000F1E7C"/>
    <w:rsid w:val="00141347"/>
    <w:rsid w:val="00142AC5"/>
    <w:rsid w:val="00142CF4"/>
    <w:rsid w:val="001575CC"/>
    <w:rsid w:val="00171C91"/>
    <w:rsid w:val="00187B5C"/>
    <w:rsid w:val="001A6BDC"/>
    <w:rsid w:val="001C154A"/>
    <w:rsid w:val="001F3AE7"/>
    <w:rsid w:val="00223709"/>
    <w:rsid w:val="00291E5D"/>
    <w:rsid w:val="00297026"/>
    <w:rsid w:val="002D6292"/>
    <w:rsid w:val="002E1B5F"/>
    <w:rsid w:val="0033396A"/>
    <w:rsid w:val="003E489A"/>
    <w:rsid w:val="00416E6A"/>
    <w:rsid w:val="0045262B"/>
    <w:rsid w:val="00452900"/>
    <w:rsid w:val="0047262C"/>
    <w:rsid w:val="0048645E"/>
    <w:rsid w:val="00494246"/>
    <w:rsid w:val="004B475A"/>
    <w:rsid w:val="004C2548"/>
    <w:rsid w:val="004C3926"/>
    <w:rsid w:val="004F10D8"/>
    <w:rsid w:val="00551366"/>
    <w:rsid w:val="005711A3"/>
    <w:rsid w:val="005B3D08"/>
    <w:rsid w:val="005E4803"/>
    <w:rsid w:val="005E6C48"/>
    <w:rsid w:val="006A3823"/>
    <w:rsid w:val="006D4416"/>
    <w:rsid w:val="00720E88"/>
    <w:rsid w:val="00787083"/>
    <w:rsid w:val="007A3653"/>
    <w:rsid w:val="007D10EF"/>
    <w:rsid w:val="007D661B"/>
    <w:rsid w:val="007E7F93"/>
    <w:rsid w:val="00822285"/>
    <w:rsid w:val="00844DC9"/>
    <w:rsid w:val="008E1AB0"/>
    <w:rsid w:val="008F6399"/>
    <w:rsid w:val="00902C13"/>
    <w:rsid w:val="00984D76"/>
    <w:rsid w:val="009C4AB9"/>
    <w:rsid w:val="009F6CB6"/>
    <w:rsid w:val="00A67316"/>
    <w:rsid w:val="00AD1B23"/>
    <w:rsid w:val="00BA126C"/>
    <w:rsid w:val="00BA2A15"/>
    <w:rsid w:val="00BC7B24"/>
    <w:rsid w:val="00C4446F"/>
    <w:rsid w:val="00C804B6"/>
    <w:rsid w:val="00C9624E"/>
    <w:rsid w:val="00CE2023"/>
    <w:rsid w:val="00CF5397"/>
    <w:rsid w:val="00D94B12"/>
    <w:rsid w:val="00DB50C3"/>
    <w:rsid w:val="00E03CC5"/>
    <w:rsid w:val="00E05913"/>
    <w:rsid w:val="00EC0E5C"/>
    <w:rsid w:val="00ED2338"/>
    <w:rsid w:val="00ED2508"/>
    <w:rsid w:val="00F424FE"/>
    <w:rsid w:val="00F4702C"/>
    <w:rsid w:val="00F93EFD"/>
    <w:rsid w:val="00FB5664"/>
    <w:rsid w:val="00FF3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44992"/>
  <w15:chartTrackingRefBased/>
  <w15:docId w15:val="{C180CDEE-1612-4187-AE22-CD8E304A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0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702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97026"/>
    <w:rPr>
      <w:color w:val="0563C1" w:themeColor="hyperlink"/>
      <w:u w:val="single"/>
    </w:rPr>
  </w:style>
  <w:style w:type="table" w:styleId="TableGrid">
    <w:name w:val="Table Grid"/>
    <w:basedOn w:val="TableNormal"/>
    <w:uiPriority w:val="39"/>
    <w:rsid w:val="00BA2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6292"/>
    <w:pPr>
      <w:ind w:left="720"/>
      <w:contextualSpacing/>
    </w:pPr>
  </w:style>
  <w:style w:type="character" w:customStyle="1" w:styleId="UnresolvedMention">
    <w:name w:val="Unresolved Mention"/>
    <w:basedOn w:val="DefaultParagraphFont"/>
    <w:uiPriority w:val="99"/>
    <w:semiHidden/>
    <w:unhideWhenUsed/>
    <w:rsid w:val="00ED2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987507">
      <w:bodyDiv w:val="1"/>
      <w:marLeft w:val="0"/>
      <w:marRight w:val="0"/>
      <w:marTop w:val="0"/>
      <w:marBottom w:val="0"/>
      <w:divBdr>
        <w:top w:val="none" w:sz="0" w:space="0" w:color="auto"/>
        <w:left w:val="none" w:sz="0" w:space="0" w:color="auto"/>
        <w:bottom w:val="none" w:sz="0" w:space="0" w:color="auto"/>
        <w:right w:val="none" w:sz="0" w:space="0" w:color="auto"/>
      </w:divBdr>
      <w:divsChild>
        <w:div w:id="19898220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uratshamsiya@gmail.com" TargetMode="External"/><Relationship Id="rId5" Type="http://schemas.openxmlformats.org/officeDocument/2006/relationships/hyperlink" Target="mailto:muratshamsiy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2265</Words>
  <Characters>12916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Nasantogtokh E</cp:lastModifiedBy>
  <cp:revision>2</cp:revision>
  <dcterms:created xsi:type="dcterms:W3CDTF">2025-11-13T02:59:00Z</dcterms:created>
  <dcterms:modified xsi:type="dcterms:W3CDTF">2025-11-13T02:59:00Z</dcterms:modified>
</cp:coreProperties>
</file>