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Constitution identification model in traditional Chinese medicine based on multiple features</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XU Anying</w:t>
      </w:r>
      <w:proofErr w:type="gramStart"/>
      <w:proofErr w:type="gramEnd"/>
      <w:proofErr w:type="spellStart"/>
      <w:proofErr w:type="spellEnd"/>
      <w:r>
        <w:rPr>
          <w:rFonts w:ascii="Times New Roman" w:hAnsi="Times New Roman"/>
          <w:sz w:val="24"/>
          <w:szCs w:val="24"/>
          <w:vertAlign w:val="superscript"/>
        </w:rPr>
        <w:t>1</w:t>
      </w:r>
      <w:r>
        <w:rPr>
          <w:rFonts w:ascii="Times New Roman" w:hAnsi="Times New Roman"/>
          <w:sz w:val="24"/>
          <w:szCs w:val="24"/>
        </w:rPr>
        <w:t>, WANG Tianshu</w:t>
      </w:r>
      <w:r>
        <w:rPr>
          <w:rFonts w:ascii="Times New Roman" w:hAnsi="Times New Roman"/>
          <w:sz w:val="24"/>
          <w:szCs w:val="24"/>
          <w:vertAlign w:val="superscript"/>
        </w:rPr>
        <w:t>1</w:t>
      </w:r>
      <w:r>
        <w:rPr>
          <w:rFonts w:ascii="Times New Roman" w:hAnsi="Times New Roman"/>
          <w:sz w:val="24"/>
          <w:szCs w:val="24"/>
        </w:rPr>
        <w:t>, YANG Tao</w:t>
      </w:r>
      <w:r>
        <w:rPr>
          <w:rFonts w:ascii="Times New Roman" w:hAnsi="Times New Roman"/>
          <w:sz w:val="24"/>
          <w:szCs w:val="24"/>
          <w:vertAlign w:val="superscript"/>
        </w:rPr>
        <w:t>1</w:t>
      </w:r>
      <w:r>
        <w:rPr>
          <w:rFonts w:ascii="Times New Roman" w:hAnsi="Times New Roman"/>
          <w:sz w:val="24"/>
          <w:szCs w:val="24"/>
        </w:rPr>
        <w:t>, HAN Xiao</w:t>
      </w:r>
      <w:r>
        <w:rPr>
          <w:rFonts w:ascii="Times New Roman" w:hAnsi="Times New Roman"/>
          <w:sz w:val="24"/>
          <w:szCs w:val="24"/>
          <w:vertAlign w:val="superscript"/>
        </w:rPr>
        <w:t>1</w:t>
      </w:r>
      <w:r>
        <w:rPr>
          <w:rFonts w:ascii="Times New Roman" w:hAnsi="Times New Roman"/>
          <w:sz w:val="24"/>
          <w:szCs w:val="24"/>
        </w:rPr>
        <w:t>, ZHANG Xiaoyu</w:t>
      </w:r>
      <w:r>
        <w:rPr>
          <w:rFonts w:ascii="Times New Roman" w:hAnsi="Times New Roman"/>
          <w:sz w:val="24"/>
          <w:szCs w:val="24"/>
          <w:vertAlign w:val="superscript"/>
        </w:rPr>
        <w:t>2</w:t>
      </w:r>
      <w:r>
        <w:rPr>
          <w:rFonts w:ascii="Times New Roman" w:hAnsi="Times New Roman"/>
          <w:sz w:val="24"/>
          <w:szCs w:val="24"/>
        </w:rPr>
        <w:t>, WANG Ziyan</w:t>
      </w:r>
      <w:r>
        <w:rPr>
          <w:rFonts w:ascii="Times New Roman" w:hAnsi="Times New Roman"/>
          <w:sz w:val="24"/>
          <w:szCs w:val="24"/>
          <w:vertAlign w:val="superscript"/>
        </w:rPr>
        <w:t>1</w:t>
      </w:r>
      <w:r>
        <w:rPr>
          <w:rFonts w:ascii="Times New Roman" w:hAnsi="Times New Roman"/>
          <w:sz w:val="24"/>
          <w:szCs w:val="24"/>
        </w:rPr>
        <w:t>, ZHANG Qi</w:t>
      </w:r>
      <w:r>
        <w:rPr>
          <w:rFonts w:ascii="Times New Roman" w:hAnsi="Times New Roman"/>
          <w:sz w:val="24"/>
          <w:szCs w:val="24"/>
          <w:vertAlign w:val="superscript"/>
        </w:rPr>
        <w:t>1</w:t>
      </w:r>
      <w:r>
        <w:rPr>
          <w:rFonts w:ascii="Times New Roman" w:hAnsi="Times New Roman"/>
          <w:sz w:val="24"/>
          <w:szCs w:val="24"/>
        </w:rPr>
        <w:t>, LI Xiao</w:t>
      </w:r>
      <w:r>
        <w:rPr>
          <w:rFonts w:ascii="Times New Roman" w:hAnsi="Times New Roman"/>
          <w:sz w:val="24"/>
          <w:szCs w:val="24"/>
          <w:vertAlign w:val="superscript"/>
        </w:rPr>
        <w:t>3</w:t>
      </w:r>
      <w:r>
        <w:rPr>
          <w:rFonts w:ascii="Times New Roman" w:hAnsi="Times New Roman"/>
          <w:sz w:val="24"/>
          <w:szCs w:val="24"/>
        </w:rPr>
        <w:t>, SHANG Hongcai</w:t>
      </w:r>
      <w:r>
        <w:rPr>
          <w:rFonts w:ascii="Times New Roman" w:hAnsi="Times New Roman"/>
          <w:sz w:val="24"/>
          <w:szCs w:val="24"/>
          <w:vertAlign w:val="superscript"/>
        </w:rPr>
        <w:t>3, 4, *</w:t>
      </w:r>
      <w:r>
        <w:rPr>
          <w:rFonts w:ascii="Times New Roman" w:hAnsi="Times New Roman"/>
          <w:sz w:val="24"/>
          <w:szCs w:val="24"/>
        </w:rPr>
        <w:t>, HU Kongfa</w:t>
      </w:r>
      <w:r>
        <w:rPr>
          <w:rFonts w:ascii="Times New Roman" w:hAnsi="Times New Roman"/>
          <w:sz w:val="24"/>
          <w:szCs w:val="24"/>
          <w:vertAlign w:val="superscript"/>
        </w:rPr>
        <w:t>1, 5, 6, 7, *</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School of Artificial Intelligence and Information Technology, Nanjing University of Chinese Medicine, Nanjing, Jiangsu 210023, China</w:t>
      </w:r>
    </w:p>
    <w:p>
      <w:pPr>
        <w:spacing w:line="276" w:lineRule="auto"/>
        <w:jc w:val="left"/>
        <w:rPr>
          <w:rFonts w:ascii="Times New Roman" w:hAnsi="Times New Roman"/>
          <w:sz w:val="24"/>
          <w:szCs w:val="24"/>
        </w:rPr>
      </w:pPr>
      <w:r>
        <w:rPr>
          <w:rFonts w:ascii="Times New Roman" w:hAnsi="Times New Roman"/>
          <w:sz w:val="24"/>
          <w:szCs w:val="24"/>
        </w:rPr>
        <w:t>2. Institute of Basic Research in Clinical Medicine, China Academy of Chinese Medical Sciences, Beijing 100700, China</w:t>
      </w:r>
    </w:p>
    <w:p>
      <w:pPr>
        <w:spacing w:line="276" w:lineRule="auto"/>
        <w:jc w:val="left"/>
        <w:rPr>
          <w:rFonts w:ascii="Times New Roman" w:hAnsi="Times New Roman"/>
          <w:sz w:val="24"/>
          <w:szCs w:val="24"/>
        </w:rPr>
      </w:pPr>
      <w:r>
        <w:rPr>
          <w:rFonts w:ascii="Times New Roman" w:hAnsi="Times New Roman"/>
          <w:sz w:val="24"/>
          <w:szCs w:val="24"/>
        </w:rPr>
        <w:t>3. Key Laboratory of Internal Medicine of Chinese Medicine, Ministry of Education, Beijing University of Chinese Medicine, Beijing 100700, China</w:t>
      </w:r>
    </w:p>
    <w:p>
      <w:pPr>
        <w:spacing w:line="276" w:lineRule="auto"/>
        <w:jc w:val="left"/>
        <w:rPr>
          <w:rFonts w:ascii="Times New Roman" w:hAnsi="Times New Roman"/>
          <w:sz w:val="24"/>
          <w:szCs w:val="24"/>
        </w:rPr>
      </w:pPr>
      <w:r>
        <w:rPr>
          <w:rFonts w:ascii="Times New Roman" w:hAnsi="Times New Roman"/>
          <w:sz w:val="24"/>
          <w:szCs w:val="24"/>
        </w:rPr>
        <w:t>4. Dongfang Hospital, Beijing University of Chinese Medicine, Beijing 100078, China</w:t>
      </w:r>
    </w:p>
    <w:p>
      <w:pPr>
        <w:spacing w:line="276" w:lineRule="auto"/>
        <w:jc w:val="left"/>
        <w:rPr>
          <w:rFonts w:ascii="Times New Roman" w:hAnsi="Times New Roman"/>
          <w:sz w:val="24"/>
          <w:szCs w:val="24"/>
        </w:rPr>
      </w:pPr>
      <w:r>
        <w:rPr>
          <w:rFonts w:ascii="Times New Roman" w:hAnsi="Times New Roman"/>
          <w:sz w:val="24"/>
          <w:szCs w:val="24"/>
        </w:rPr>
        <w:t>5. Jiangsu Collaborative Innovation Center of Traditional Chinese Medicine in Prevention and Treatment of Tumor, Nanjing, Jiangsu 210023, China</w:t>
      </w:r>
    </w:p>
    <w:p>
      <w:pPr>
        <w:spacing w:line="276" w:lineRule="auto"/>
        <w:jc w:val="left"/>
        <w:rPr>
          <w:rFonts w:ascii="Times New Roman" w:hAnsi="Times New Roman"/>
          <w:sz w:val="24"/>
          <w:szCs w:val="24"/>
        </w:rPr>
      </w:pPr>
      <w:r>
        <w:rPr>
          <w:rFonts w:ascii="Times New Roman" w:hAnsi="Times New Roman"/>
          <w:sz w:val="24"/>
          <w:szCs w:val="24"/>
        </w:rPr>
        <w:t>6. Jiangsu Province Engineering Research Center of TCM Intelligence Health Service, Nanjing University of Chinese Medicine, Nanjing, Jiangsu 210023, China</w:t>
      </w:r>
    </w:p>
    <w:p>
      <w:pPr>
        <w:spacing w:line="276" w:lineRule="auto"/>
        <w:jc w:val="left"/>
        <w:rPr>
          <w:rFonts w:ascii="Times New Roman" w:hAnsi="Times New Roman"/>
          <w:sz w:val="24"/>
          <w:szCs w:val="24"/>
        </w:rPr>
      </w:pPr>
      <w:r>
        <w:rPr>
          <w:rFonts w:ascii="Times New Roman" w:hAnsi="Times New Roman"/>
          <w:sz w:val="24"/>
          <w:szCs w:val="24"/>
        </w:rPr>
        <w:t>7. Jiangsu Research Center for Major Health Risk Management and TCM Control Policy, Nanjing University of Chinese Medicine, Nanjing, Jiangsu 210023, China</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E-mail: shanghongcai@126.com  E-mail: kfhu@njucm.edu.cn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2024-5-27; accepted 2024-6-18;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2024-6-25.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w:t>
      </w:r>
      <w:proofErr w:type="gramEnd"/>
      <w:r>
        <w:rPr>
          <w:rFonts w:ascii="Times New Roman" w:hAnsi="宋体"/>
          <w:b w:val="true"/>
          <w:sz w:val="24"/>
          <w:szCs w:val="24"/>
        </w:rPr>
        <w:t>[Objective]</w:t>
      </w:r>
      <w:r>
        <w:rPr>
          <w:rFonts w:ascii="Times New Roman" w:hAnsi="宋体"/>
          <w:sz w:val="24"/>
          <w:szCs w:val="24"/>
        </w:rPr>
        <w:t xml:space="preserve">  To construct a precise model for identifying traditional Chinese medicine (TCM) constitutions, thereby offering optimized guidance for clinical diagnosis and treatment planning, and ultimately enhancing medical efficiency and treatment outcomes.  </w:t>
      </w:r>
      <w:r>
        <w:rPr>
          <w:rFonts w:ascii="Times New Roman" w:hAnsi="宋体"/>
          <w:b w:val="true"/>
          <w:sz w:val="24"/>
          <w:szCs w:val="24"/>
        </w:rPr>
        <w:t>[Methods]</w:t>
      </w:r>
      <w:r>
        <w:rPr>
          <w:rFonts w:ascii="Times New Roman" w:hAnsi="宋体"/>
          <w:sz w:val="24"/>
          <w:szCs w:val="24"/>
        </w:rPr>
        <w:t xml:space="preserve">  First, TCM full-body inspection data acquisition equipment was employed to collect full-body standing images of healthy people, from which the constitutions were labelled and defined in accordance with the Constitution in Chinese Medicine Questionnaire (CCMQ), and a dataset encompassing labelled constitutions was constructed. Second, heat-suppression valve (HSV) color space and improved local binary patterns (LBP) algorithm were leveraged for the extraction of features such as facial complexion and body shape. In addition, a dual-branch deep network was employed to collect deep features from the full-body standing images. Last, the random forest (RF) algorithm was utilized to learn the extracted multifeatures, which were subsequently employed to establish a TCM constitution identification model. Accuracy, precision, and F1 score were the three measures selected to assess the performance of the model.  </w:t>
      </w:r>
      <w:r>
        <w:rPr>
          <w:rFonts w:ascii="Times New Roman" w:hAnsi="宋体"/>
          <w:b w:val="true"/>
          <w:sz w:val="24"/>
          <w:szCs w:val="24"/>
        </w:rPr>
        <w:t>[Results]</w:t>
      </w:r>
      <w:r>
        <w:rPr>
          <w:rFonts w:ascii="Times New Roman" w:hAnsi="宋体"/>
          <w:sz w:val="24"/>
          <w:szCs w:val="24"/>
        </w:rPr>
        <w:t xml:space="preserve">  It was found that the accuracy, precision, and F1 score of the proposed model based on multifeatures for identifying TCM constitutions were 0.842, 0.868, and 0.790, respectively. In comparison with the identification models that encompass a single feature, either a single facial complexion feature, a body shape feature, or deep features, the accuracy of the model that incorporating all the aforementioned features was elevated by 0.105, 0.105, and 0.079, the precision increased by 0.164, 0.164, and 0.211, and the F1 score rose by 0.071, 0.071, and 0.084, respectively.  </w:t>
      </w:r>
      <w:r>
        <w:rPr>
          <w:rFonts w:ascii="Times New Roman" w:hAnsi="宋体"/>
          <w:b w:val="true"/>
          <w:sz w:val="24"/>
          <w:szCs w:val="24"/>
        </w:rPr>
        <w:t>[Conclusion]</w:t>
      </w:r>
      <w:r>
        <w:rPr>
          <w:rFonts w:ascii="Times New Roman" w:hAnsi="宋体"/>
          <w:sz w:val="24"/>
          <w:szCs w:val="24"/>
        </w:rPr>
        <w:t xml:space="preserve">  The research findings affirmed the viability of the proposed model, which incorporated multifeatures, including the facial complexion feature, the body shape feature, and the deep feature. In addition, by employing the proposed model, the objectification and intelligence of identifying constitutions in TCM practices could be optimized.       </w:t>
      </w:r>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Traditional Chinese medicine (TCM); Constitution identification; Deep feature; Facial complexion feature; Body shape feature; Multiple features</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10.1016/j.dcmed.2024.09.002</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constitution in traditional Chinese medicine (TCM) reflects an individual’s distinct traits, offering insights into their response to external stimuli and susceptibility to health issues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xml:space="preserve">. It serves as a comprehensive blueprint for one’s physical and mental constitution, shaped by TCM principles, enabling a deeper understanding of one’s health trajectory, disease prevention, and recovery processes </w:t>
      </w:r>
      <w:r>
        <w:rPr>
          <w:rFonts w:ascii="Times New Roman" w:hAnsi="宋体" w:hint="eastAsia"/>
          <w:sz w:val="24"/>
          <w:szCs w:val="24"/>
          <w:vertAlign w:val="superscript"/>
        </w:rPr>
        <w:t>[</w:t>
      </w:r>
      <w:r>
        <w:rPr>
          <w:rFonts w:ascii="Times New Roman" w:hAnsi="宋体" w:hint="eastAsia"/>
          <w:sz w:val="24"/>
          <w:szCs w:val="24"/>
          <w:vertAlign w:val="superscript"/>
        </w:rPr>
        <w:t>2</w:t>
      </w:r>
      <w:r>
        <w:rPr>
          <w:rFonts w:ascii="Times New Roman" w:hAnsi="宋体" w:hint="eastAsia"/>
          <w:sz w:val="24"/>
          <w:szCs w:val="24"/>
          <w:vertAlign w:val="superscript"/>
        </w:rPr>
        <w:t>]</w:t>
      </w:r>
      <w:r>
        <w:rPr>
          <w:rFonts w:ascii="Times New Roman" w:hAnsi="宋体" w:hint="eastAsia"/>
          <w:sz w:val="24"/>
          <w:szCs w:val="24"/>
        </w:rPr>
        <w:t xml:space="preserve">. Recent researches have shown a link between TCM constitution and various diseases, which has fostered the development of personalized healthcare strategies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 xml:space="preserve">, </w:t>
      </w:r>
      <w:r>
        <w:rPr>
          <w:rFonts w:ascii="Times New Roman" w:hAnsi="宋体" w:hint="eastAsia"/>
          <w:sz w:val="24"/>
          <w:szCs w:val="24"/>
          <w:vertAlign w:val="superscript"/>
        </w:rPr>
        <w:t>4</w:t>
      </w:r>
      <w:r>
        <w:rPr>
          <w:rFonts w:ascii="Times New Roman" w:hAnsi="宋体" w:hint="eastAsia"/>
          <w:sz w:val="24"/>
          <w:szCs w:val="24"/>
          <w:vertAlign w:val="superscript"/>
        </w:rPr>
        <w:t>]</w:t>
      </w:r>
      <w:r>
        <w:rPr>
          <w:rFonts w:ascii="Times New Roman" w:hAnsi="宋体" w:hint="eastAsia"/>
          <w:sz w:val="24"/>
          <w:szCs w:val="24"/>
        </w:rPr>
        <w:t>. By accurately identifying one’s TCM constitution, we can more effectively direct health interventions towards those who require them, ultimately improving their overall well-being.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primary approach to identifying constitution in TCM involves completing the Constitution in Chinese Medicine Questionnaire (CCMQ) and subsequently applying statistical analysis methods to investigate and evaluate the results </w:t>
      </w:r>
      <w:r>
        <w:rPr>
          <w:rFonts w:ascii="Times New Roman" w:hAnsi="宋体" w:hint="eastAsia"/>
          <w:sz w:val="24"/>
          <w:szCs w:val="24"/>
          <w:vertAlign w:val="superscript"/>
        </w:rPr>
        <w:t>[</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w:t>
      </w:r>
      <w:r>
        <w:rPr>
          <w:rFonts w:ascii="Times New Roman" w:hAnsi="宋体" w:hint="eastAsia"/>
          <w:sz w:val="24"/>
          <w:szCs w:val="24"/>
        </w:rPr>
        <w:t xml:space="preserve">. For example, YANG et al. </w:t>
      </w:r>
      <w:r>
        <w:rPr>
          <w:rFonts w:ascii="Times New Roman" w:hAnsi="宋体" w:hint="eastAsia"/>
          <w:sz w:val="24"/>
          <w:szCs w:val="24"/>
          <w:vertAlign w:val="superscript"/>
        </w:rPr>
        <w:t>[</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xml:space="preserve"> employed the CCMQ for the purpose of constitution identification, and further utilized statistical methods to explore the application of TCM constitution identification in health management and prevention in TCM treatment. Therefore, it is simple and easy to collect the constitution data of subjects by filling out the CCMQ. However, this approach has a problem of low efficiency.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recent years, the advancement of computer vision and machine learning has led to the application of image processing techniques in TCM constitution identification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w:t>
      </w:r>
      <w:r>
        <w:rPr>
          <w:rFonts w:ascii="Times New Roman" w:hAnsi="宋体" w:hint="eastAsia"/>
          <w:sz w:val="24"/>
          <w:szCs w:val="24"/>
        </w:rPr>
        <w:t xml:space="preserve">. Different TCM constitutions exhibit distinct tongue and facial features. For example, individuals with a balanced constitution may display a ruddy face and a pink tongue, while those with a phlegm-dampness constitution might exhibit much facial oil and a greasy tongue. ZHOU et al. </w:t>
      </w:r>
      <w:r>
        <w:rPr>
          <w:rFonts w:ascii="Times New Roman" w:hAnsi="宋体" w:hint="eastAsia"/>
          <w:sz w:val="24"/>
          <w:szCs w:val="24"/>
          <w:vertAlign w:val="superscript"/>
        </w:rPr>
        <w:t>[</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 xml:space="preserve"> proposed a TCM constitution identification method based on tongue images, which used convolutional neural network (CNN), gray level co-occurrence matrix, and edge curve to extract features from tongue images, and employed support vector machine (SVM) classifier to classify various constitutions. YU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w:t>
      </w:r>
      <w:r>
        <w:rPr>
          <w:rFonts w:ascii="Times New Roman" w:hAnsi="宋体" w:hint="eastAsia"/>
          <w:sz w:val="24"/>
          <w:szCs w:val="24"/>
        </w:rPr>
        <w:t xml:space="preserve"> established a model for identifying TCM constitutions based on tongue images through multi-scale filtering CNN. LIANG </w:t>
      </w:r>
      <w:r>
        <w:rPr>
          <w:rFonts w:ascii="Times New Roman" w:hAnsi="宋体" w:hint="eastAsia"/>
          <w:sz w:val="24"/>
          <w:szCs w:val="24"/>
          <w:vertAlign w:val="superscript"/>
        </w:rPr>
        <w:t>[</w:t>
      </w:r>
      <w:r>
        <w:rPr>
          <w:rFonts w:ascii="Times New Roman" w:hAnsi="宋体" w:hint="eastAsia"/>
          <w:sz w:val="24"/>
          <w:szCs w:val="24"/>
          <w:vertAlign w:val="superscript"/>
        </w:rPr>
        <w:t>12</w:t>
      </w:r>
      <w:r>
        <w:rPr>
          <w:rFonts w:ascii="Times New Roman" w:hAnsi="宋体" w:hint="eastAsia"/>
          <w:sz w:val="24"/>
          <w:szCs w:val="24"/>
          <w:vertAlign w:val="superscript"/>
        </w:rPr>
        <w:t>]</w:t>
      </w:r>
      <w:r>
        <w:rPr>
          <w:rFonts w:ascii="Times New Roman" w:hAnsi="宋体" w:hint="eastAsia"/>
          <w:sz w:val="24"/>
          <w:szCs w:val="24"/>
        </w:rPr>
        <w:t xml:space="preserve"> implemented an automatic identification system for TCM constitution based on facial complexion features incorporating skin color detection, SVM, and other technologies, subjecting facial images to analysis. YANG et al. </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xml:space="preserve"> analyzed and compared the differences in facial complexion, lip color, and facial gloss in facial images of individuals with different constitutions, which provided important quantitative parameters for facial diagnosis in TCM constitution identification. Facial complexion and other information can be represented by heat-suppression valve (HSV) and other color spaces in images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Therefore, image processing technology can realize automatic identification of TCM constitutions. With additional application of SVM, multi-scale filtering CNN, and other approaches, a high level of classification accuracy can be achieved in TCM constitution identification, thereby enhancing the reliability of the identification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Study has indicated that individuals with different constitutions exhibit significantly distinct physical traits </w:t>
      </w:r>
      <w:r>
        <w:rPr>
          <w:rFonts w:ascii="Times New Roman" w:hAnsi="宋体" w:hint="eastAsia"/>
          <w:sz w:val="24"/>
          <w:szCs w:val="24"/>
          <w:vertAlign w:val="superscript"/>
        </w:rPr>
        <w:t>[</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xml:space="preserve">. For instance, individuals with a balanced constitution tend to possess a well-balanced and robust physique, whereas those with Qi deficiency constitution and Yang deficiency constitution may have soft and weak muscles. Body mass index (BMI) can serve as an indicator of physical characteristics to some extent. Many TCM constitution identification models have been constructed based on BMI. LU et al.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xml:space="preserve"> established a TCM constitution identification model by integrating BMI with features of tongue image. PAN et al.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 xml:space="preserve"> extracted digital tongue image features and BMI to create an automatic TCM constitution identification model based on an artificial neural network and SVM. However, current related research falls short of fully exploiting the pertinent texture and structural characteristics present in the images to accurately represent body shape features.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With the continuous advancement of deep learning, the extraction of deep features using deep network models has been widely applied across various tasks </w:t>
      </w:r>
      <w:r>
        <w:rPr>
          <w:rFonts w:ascii="Times New Roman" w:hAnsi="宋体" w:hint="eastAsia"/>
          <w:sz w:val="24"/>
          <w:szCs w:val="24"/>
          <w:vertAlign w:val="superscript"/>
        </w:rPr>
        <w:t>[</w:t>
      </w:r>
      <w:r>
        <w:rPr>
          <w:rFonts w:ascii="Times New Roman" w:hAnsi="宋体" w:hint="eastAsia"/>
          <w:sz w:val="24"/>
          <w:szCs w:val="24"/>
          <w:vertAlign w:val="superscript"/>
        </w:rPr>
        <w:t>18</w:t>
      </w:r>
      <w:r>
        <w:rPr>
          <w:rFonts w:ascii="Times New Roman" w:hAnsi="宋体" w:hint="eastAsia"/>
          <w:sz w:val="24"/>
          <w:szCs w:val="24"/>
          <w:vertAlign w:val="superscript"/>
        </w:rPr>
        <w:t xml:space="preserve">, </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 xml:space="preserve">. DONG et al.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xml:space="preserve"> proposed a strawberry pest classification method based on CNN to improve the classification accuracy. This method used the PyTorch deep learning framework to fine-tune AlexNet, which consists of five convolutional layers and three fully connected layers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w:t>
      </w:r>
      <w:r>
        <w:rPr>
          <w:rFonts w:ascii="Times New Roman" w:hAnsi="宋体" w:hint="eastAsia"/>
          <w:sz w:val="24"/>
          <w:szCs w:val="24"/>
        </w:rPr>
        <w:t xml:space="preserve">. HE et al. </w:t>
      </w:r>
      <w:r>
        <w:rPr>
          <w:rFonts w:ascii="Times New Roman" w:hAnsi="宋体" w:hint="eastAsia"/>
          <w:sz w:val="24"/>
          <w:szCs w:val="24"/>
          <w:vertAlign w:val="superscript"/>
        </w:rPr>
        <w:t>[</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xml:space="preserve"> introduced residual connections and proposed a deep learning neural network architecture, ResNet, which swiftly trained extremely deep neural network models and prevented the gradient vanishing problem through cross-layer connections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 xml:space="preserve">. This network architecture performed well on tasks such as image recognition and object detection. GU et al. </w:t>
      </w:r>
      <w:r>
        <w:rPr>
          <w:rFonts w:ascii="Times New Roman" w:hAnsi="宋体" w:hint="eastAsia"/>
          <w:sz w:val="24"/>
          <w:szCs w:val="24"/>
          <w:vertAlign w:val="superscript"/>
        </w:rPr>
        <w:t>[</w:t>
      </w:r>
      <w:r>
        <w:rPr>
          <w:rFonts w:ascii="Times New Roman" w:hAnsi="宋体" w:hint="eastAsia"/>
          <w:sz w:val="24"/>
          <w:szCs w:val="24"/>
          <w:vertAlign w:val="superscript"/>
        </w:rPr>
        <w:t>24</w:t>
      </w:r>
      <w:r>
        <w:rPr>
          <w:rFonts w:ascii="Times New Roman" w:hAnsi="宋体" w:hint="eastAsia"/>
          <w:sz w:val="24"/>
          <w:szCs w:val="24"/>
          <w:vertAlign w:val="superscript"/>
        </w:rPr>
        <w:t>]</w:t>
      </w:r>
      <w:r>
        <w:rPr>
          <w:rFonts w:ascii="Times New Roman" w:hAnsi="宋体" w:hint="eastAsia"/>
          <w:sz w:val="24"/>
          <w:szCs w:val="24"/>
        </w:rPr>
        <w:t xml:space="preserve"> proposed a deep learning model based on self-attention and visual converter structure to realize shape recognition. This model leveraged a Swin Transformer architecture and a comprehensive shape representation to enhance model performance </w:t>
      </w:r>
      <w:r>
        <w:rPr>
          <w:rFonts w:ascii="Times New Roman" w:hAnsi="宋体" w:hint="eastAsia"/>
          <w:sz w:val="24"/>
          <w:szCs w:val="24"/>
          <w:vertAlign w:val="superscript"/>
        </w:rPr>
        <w:t>[</w:t>
      </w:r>
      <w:r>
        <w:rPr>
          <w:rFonts w:ascii="Times New Roman" w:hAnsi="宋体" w:hint="eastAsia"/>
          <w:sz w:val="24"/>
          <w:szCs w:val="24"/>
          <w:vertAlign w:val="superscript"/>
        </w:rPr>
        <w:t>25</w:t>
      </w:r>
      <w:r>
        <w:rPr>
          <w:rFonts w:ascii="Times New Roman" w:hAnsi="宋体" w:hint="eastAsia"/>
          <w:sz w:val="24"/>
          <w:szCs w:val="24"/>
          <w:vertAlign w:val="superscript"/>
        </w:rPr>
        <w:t>]</w:t>
      </w:r>
      <w:r>
        <w:rPr>
          <w:rFonts w:ascii="Times New Roman" w:hAnsi="宋体" w:hint="eastAsia"/>
          <w:sz w:val="24"/>
          <w:szCs w:val="24"/>
        </w:rPr>
        <w:t xml:space="preserve">. The Swin Transformer employs a hierarchical structure and a design that are capable of processing and capturing deep features at multiple scales. This Swin Transformer-embedded model achieved an accuracy of 93.82% on the animal dataset, surpassing the visual geometry group (VGG) method by 3.8% </w:t>
      </w:r>
      <w:r>
        <w:rPr>
          <w:rFonts w:ascii="Times New Roman" w:hAnsi="宋体" w:hint="eastAsia"/>
          <w:sz w:val="24"/>
          <w:szCs w:val="24"/>
          <w:vertAlign w:val="superscript"/>
        </w:rPr>
        <w:t>[</w:t>
      </w:r>
      <w:r>
        <w:rPr>
          <w:rFonts w:ascii="Times New Roman" w:hAnsi="宋体" w:hint="eastAsia"/>
          <w:sz w:val="24"/>
          <w:szCs w:val="24"/>
          <w:vertAlign w:val="superscript"/>
        </w:rPr>
        <w:t>26</w:t>
      </w:r>
      <w:r>
        <w:rPr>
          <w:rFonts w:ascii="Times New Roman" w:hAnsi="宋体" w:hint="eastAsia"/>
          <w:sz w:val="24"/>
          <w:szCs w:val="24"/>
          <w:vertAlign w:val="superscript"/>
        </w:rPr>
        <w:t>]</w:t>
      </w:r>
      <w:r>
        <w:rPr>
          <w:rFonts w:ascii="Times New Roman" w:hAnsi="宋体" w:hint="eastAsia"/>
          <w:sz w:val="24"/>
          <w:szCs w:val="24"/>
        </w:rPr>
        <w:t>. Therefore, deep learning network models can not only automatically extract deep features, but also capture complex semantic information in images in a better manner than traditional methods. Deep features can effectively represent semantic information in images and enhance the performance of the model.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the field of TCM, deep learning methods have been successfully employed for the intricate task of identifying TCM constitutions. ZHOU et al. </w:t>
      </w:r>
      <w:r>
        <w:rPr>
          <w:rFonts w:ascii="Times New Roman" w:hAnsi="宋体" w:hint="eastAsia"/>
          <w:sz w:val="24"/>
          <w:szCs w:val="24"/>
          <w:vertAlign w:val="superscript"/>
        </w:rPr>
        <w:t>[</w:t>
      </w:r>
      <w:r>
        <w:rPr>
          <w:rFonts w:ascii="Times New Roman" w:hAnsi="宋体" w:hint="eastAsia"/>
          <w:sz w:val="24"/>
          <w:szCs w:val="24"/>
          <w:vertAlign w:val="superscript"/>
        </w:rPr>
        <w:t>27</w:t>
      </w:r>
      <w:r>
        <w:rPr>
          <w:rFonts w:ascii="Times New Roman" w:hAnsi="宋体" w:hint="eastAsia"/>
          <w:sz w:val="24"/>
          <w:szCs w:val="24"/>
          <w:vertAlign w:val="superscript"/>
        </w:rPr>
        <w:t>]</w:t>
      </w:r>
      <w:r>
        <w:rPr>
          <w:rFonts w:ascii="Times New Roman" w:hAnsi="宋体" w:hint="eastAsia"/>
          <w:sz w:val="24"/>
          <w:szCs w:val="24"/>
        </w:rPr>
        <w:t xml:space="preserve"> introduced an innovative approach that leveraged deep features extracted from tongue images to enhance the accuracy and efficiency of TCM constitution identification. This method improved the AlexNet network by incorporating an error-weight-based integration of features from each layer, thereby refining the network’s performance. Meanwhile, ZHOU et al. </w:t>
      </w:r>
      <w:r>
        <w:rPr>
          <w:rFonts w:ascii="Times New Roman" w:hAnsi="宋体" w:hint="eastAsia"/>
          <w:sz w:val="24"/>
          <w:szCs w:val="24"/>
          <w:vertAlign w:val="superscript"/>
        </w:rPr>
        <w:t>[</w:t>
      </w:r>
      <w:r>
        <w:rPr>
          <w:rFonts w:ascii="Times New Roman" w:hAnsi="宋体" w:hint="eastAsia"/>
          <w:sz w:val="24"/>
          <w:szCs w:val="24"/>
          <w:vertAlign w:val="superscript"/>
        </w:rPr>
        <w:t>28</w:t>
      </w:r>
      <w:r>
        <w:rPr>
          <w:rFonts w:ascii="Times New Roman" w:hAnsi="宋体" w:hint="eastAsia"/>
          <w:sz w:val="24"/>
          <w:szCs w:val="24"/>
          <w:vertAlign w:val="superscript"/>
        </w:rPr>
        <w:t>]</w:t>
      </w:r>
      <w:r>
        <w:rPr>
          <w:rFonts w:ascii="Times New Roman" w:hAnsi="宋体" w:hint="eastAsia"/>
          <w:sz w:val="24"/>
          <w:szCs w:val="24"/>
        </w:rPr>
        <w:t xml:space="preserve"> proposed a TCM constitution identification model that utilized a dual-channel network, which combined tongue image features obtained manually with deep features to enhance the accuracy of TCM constitution classification. Therefore, the integration of features with multi-channel processing through deep learning networks can significantly improve the accuracy of identifying TCM constitutions. Unfortunately, current research endeavors in TCM constitution identification have yet to fully exploit the potential of deep learning networks for deeply mining and leveraging visual information from images.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However, most research on TCM constitution identification tends to focus solely on an individual aspect such as facial image or tongue image, resulting in limited outcomes confined to single TCM constitution identification models. This often fails to fully capture the comprehensive characteristics of an individual’s constitution. Therefore, this paper has surpassed existing deep learning methods by incorporating the attention mechanism, which has not only strategically directed the proposed network’s proficiency in extracting key features but also elevated the richness and accuracy of feature representation, leading to more comprehensive and insightful outcomes. In addition, this paper adopts a multi-feature approach, incorporating features such as facial complexion, body shape, and deep features extracted from full-body standing images using deep learning networks, with the aim of developing a TCM constitution identification model based on these multiple features.</w:t>
      </w:r>
    </w:p>
    <w:p>
      <w:pPr>
        <w:spacing w:before="156" w:beforeLines="50" w:line="360" w:lineRule="auto"/>
        <w:jc w:val="left"/>
        <w:rPr>
          <w:rFonts w:ascii="Times New Roman" w:hAnsi="宋体"/>
          <w:sz w:val="24"/>
          <w:szCs w:val="24"/>
        </w:rPr>
      </w:pPr>
      <w:r>
        <w:rPr>
          <w:rFonts w:ascii="Times New Roman" w:hAnsi="宋体" w:hint="eastAsia"/>
          <w:b/>
          <w:sz w:val="32"/>
          <w:szCs w:val="32"/>
        </w:rPr>
        <w:t>2  Data and methods</w:t>
      </w:r>
    </w:p>
    <w:p>
      <w:pPr>
        <w:spacing w:before="156" w:beforeLines="50" w:line="360" w:lineRule="auto"/>
        <w:jc w:val="left"/>
        <w:rPr>
          <w:rFonts w:ascii="Times New Roman" w:hAnsi="宋体"/>
          <w:sz w:val="24"/>
          <w:szCs w:val="24"/>
        </w:rPr>
      </w:pPr>
      <w:r>
        <w:rPr>
          <w:rFonts w:ascii="Times New Roman" w:hAnsi="宋体" w:hint="eastAsia"/>
          <w:b/>
          <w:sz w:val="26"/>
          <w:szCs w:val="32"/>
        </w:rPr>
        <w:t>2.1  Data collection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paper, participants who voluntarily enrolled in the TCM constitution test were carefully selected from Nanjing University of Chinese Medicine, and the data collection period was from April 23 to May 10, 2023. Participants were eligible for the study if they did not have chronic diseases and signed an informed consent form; participants were excluded from the study if their clinical data of height, weight, or responses to questions were incomplete, or if they were unable to complete the questionnaire or respond to questions. The study protocol was approved by the Medical Ethics Committee of Affiliated Hospital of Nanjing University of Chinese Medicine (2023NL-255-01), in accordance with the guidelines of the Declaration of Helsinki of the World Medical Association.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Figure 1</w:t>
      </w:r>
      <w:r>
        <w:rPr>
          <w:rFonts w:ascii="Times New Roman" w:hAnsi="宋体" w:hint="eastAsia"/>
          <w:sz w:val="24"/>
          <w:szCs w:val="24"/>
        </w:rPr>
        <w:t xml:space="preserve"> depicts the data acquisition scenario. The image acquisition area is designated as the green zone, with the self-developed data acquisition equipment strategically positioned to its left. This equipment incorporates a camera utilizing Femto technology, capable of capturing images with a resolution of 640 × 480 pixels, and is placed at a height of 1.5 m above the ground. Adjacent to the green area is the standing point, located 2 m away from the data acquisition equipment. The blue area is designed for completing the CCMQ, which was placed on the table for the subjects to fill out. The data acquisition process consisted of two steps. (i) The subject stood against the wall, waiting for the staff to operate the equipment to capture the full-body standing images. The purpose of collecting the full-body standing images was to extract subjects’ facial color features, body shape features, and deep features simultaneously. (ii) After their full-body images were captured, the subjects were asked to move to the blue area, where their TCM constitution types were determined and their heights and weights were measured, assisting in the construction of an image dataset with accurate constitution labels.</w:t>
      </w:r>
    </w:p>
    <w:p>
      <w:pPr>
        <w:spacing w:before="200" w:after="100"/>
        <w:jc w:val="center"/>
      </w:pPr>
      <w:r>
        <w:drawing>
          <wp:inline distT="0" distR="0" distB="0" distL="0">
            <wp:extent cx="2736342" cy="1200226"/>
            <wp:docPr id="0" name="Drawing 0" descr="hukongfa-1.jpg"/>
            <a:graphic xmlns:a="http://schemas.openxmlformats.org/drawingml/2006/main">
              <a:graphicData uri="http://schemas.openxmlformats.org/drawingml/2006/picture">
                <pic:pic xmlns:pic="http://schemas.openxmlformats.org/drawingml/2006/picture">
                  <pic:nvPicPr>
                    <pic:cNvPr id="0" name="Picture 0" descr="hukongfa-1.jpg"/>
                    <pic:cNvPicPr>
                      <a:picLocks noChangeAspect="true"/>
                    </pic:cNvPicPr>
                  </pic:nvPicPr>
                  <pic:blipFill>
                    <a:blip r:embed="rId9"/>
                    <a:stretch>
                      <a:fillRect/>
                    </a:stretch>
                  </pic:blipFill>
                  <pic:spPr>
                    <a:xfrm>
                      <a:off x="0" y="0"/>
                      <a:ext cx="2736342" cy="1200226"/>
                    </a:xfrm>
                    <a:prstGeom prst="rect">
                      <a:avLst/>
                    </a:prstGeom>
                  </pic:spPr>
                </pic:pic>
              </a:graphicData>
            </a:graphic>
          </wp:inline>
        </w:drawing>
      </w:r>
    </w:p>
    <w:p>
      <w:pPr>
        <w:spacing w:after="200"/>
        <w:jc w:val="center"/>
      </w:pPr>
      <w:r>
        <w:rPr>
          <w:b w:val="true"/>
        </w:rPr>
        <w:t xml:space="preserve">Fig. 1  </w:t>
      </w:r>
      <w:r>
        <w:rPr>
          <w:b w:val="true"/>
        </w:rPr>
        <w:t>Data acquisition scenario</w:t>
      </w:r>
    </w:p>
    <w:p>
      <w:pPr>
        <w:jc w:val="center"/>
      </w:pPr>
      <w:r>
        <w:t>A, the acquisition scenario. B, the actual acquisition example.</w:t>
      </w:r>
    </w:p>
    <w:p>
      <w:pPr>
        <w:spacing w:before="156" w:beforeLines="50" w:line="360" w:lineRule="auto"/>
        <w:jc w:val="left"/>
        <w:rPr>
          <w:rFonts w:ascii="Times New Roman" w:hAnsi="宋体"/>
          <w:sz w:val="24"/>
          <w:szCs w:val="24"/>
        </w:rPr>
      </w:pPr>
      <w:r>
        <w:rPr>
          <w:rFonts w:ascii="Times New Roman" w:hAnsi="宋体" w:hint="eastAsia"/>
          <w:b/>
          <w:sz w:val="26"/>
          <w:szCs w:val="32"/>
        </w:rPr>
        <w:t>2.2  Determination of the TCM constitution types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this paper, the constitution of the subjects was assessed following the guidelines outlined in the “Classification and Determination of Constitution of TCM” published by the Chinese Association of Chinese Medicine in 2009 </w:t>
      </w:r>
      <w:r>
        <w:rPr>
          <w:rFonts w:ascii="Times New Roman" w:hAnsi="宋体" w:hint="eastAsia"/>
          <w:sz w:val="24"/>
          <w:szCs w:val="24"/>
          <w:vertAlign w:val="superscript"/>
        </w:rPr>
        <w:t>[</w:t>
      </w:r>
      <w:r>
        <w:rPr>
          <w:rFonts w:ascii="Times New Roman" w:hAnsi="宋体" w:hint="eastAsia"/>
          <w:sz w:val="24"/>
          <w:szCs w:val="24"/>
          <w:vertAlign w:val="superscript"/>
        </w:rPr>
        <w:t>29</w:t>
      </w:r>
      <w:r>
        <w:rPr>
          <w:rFonts w:ascii="Times New Roman" w:hAnsi="宋体" w:hint="eastAsia"/>
          <w:sz w:val="24"/>
          <w:szCs w:val="24"/>
          <w:vertAlign w:val="superscript"/>
        </w:rPr>
        <w:t>]</w:t>
      </w:r>
      <w:r>
        <w:rPr>
          <w:rFonts w:ascii="Times New Roman" w:hAnsi="宋体" w:hint="eastAsia"/>
          <w:sz w:val="24"/>
          <w:szCs w:val="24"/>
        </w:rPr>
        <w:t>. The subjects answered all the questions in the “Classification and Judgment Table of Chinese Medicine Constitution”, with each question rated on a 5-point scale. The subjects’ answers were used to calculate both the original score and the conversion score, and the constitution type was determined in accordance with predetermined criteria.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this paper, a TCM constitution dataset was built with images and constitution data from 125 subjects. As illustrated in </w:t>
      </w:r>
      <w:r>
        <w:rPr>
          <w:rFonts w:ascii="Times New Roman" w:hAnsi="宋体" w:hint="eastAsia"/>
          <w:sz w:val="24"/>
          <w:szCs w:val="24"/>
        </w:rPr>
        <w:t>Figure 2</w:t>
      </w:r>
      <w:r>
        <w:rPr>
          <w:rFonts w:ascii="Times New Roman" w:hAnsi="宋体" w:hint="eastAsia"/>
          <w:sz w:val="24"/>
          <w:szCs w:val="24"/>
        </w:rPr>
        <w:t>, the dataset is comprised of 26 subjects with a balanced constitution and 99 with a biased constitution, encompassing various types such as Yang deficiency (21), Yin deficiency (20), Qi deficiency (16), dampness-heat (13), Qi stagnation (10), phlegm-dampness(9), inherited special constitutions (8), and blood stasis (2).</w:t>
      </w:r>
    </w:p>
    <w:p>
      <w:pPr>
        <w:spacing w:before="200" w:after="100"/>
        <w:jc w:val="center"/>
      </w:pPr>
      <w:r>
        <w:drawing>
          <wp:inline distT="0" distR="0" distB="0" distL="0">
            <wp:extent cx="2736342" cy="1520190"/>
            <wp:docPr id="1" name="Drawing 1" descr="hukongfa-2.jpg"/>
            <a:graphic xmlns:a="http://schemas.openxmlformats.org/drawingml/2006/main">
              <a:graphicData uri="http://schemas.openxmlformats.org/drawingml/2006/picture">
                <pic:pic xmlns:pic="http://schemas.openxmlformats.org/drawingml/2006/picture">
                  <pic:nvPicPr>
                    <pic:cNvPr id="0" name="Picture 1" descr="hukongfa-2.jpg"/>
                    <pic:cNvPicPr>
                      <a:picLocks noChangeAspect="true"/>
                    </pic:cNvPicPr>
                  </pic:nvPicPr>
                  <pic:blipFill>
                    <a:blip r:embed="rId10"/>
                    <a:stretch>
                      <a:fillRect/>
                    </a:stretch>
                  </pic:blipFill>
                  <pic:spPr>
                    <a:xfrm>
                      <a:off x="0" y="0"/>
                      <a:ext cx="2736342" cy="1520190"/>
                    </a:xfrm>
                    <a:prstGeom prst="rect">
                      <a:avLst/>
                    </a:prstGeom>
                  </pic:spPr>
                </pic:pic>
              </a:graphicData>
            </a:graphic>
          </wp:inline>
        </w:drawing>
      </w:r>
    </w:p>
    <w:p>
      <w:pPr>
        <w:spacing w:after="200"/>
        <w:jc w:val="center"/>
      </w:pPr>
      <w:r>
        <w:rPr>
          <w:b w:val="true"/>
        </w:rPr>
        <w:t xml:space="preserve">Fig. 2  </w:t>
      </w:r>
      <w:r>
        <w:rPr>
          <w:b w:val="true"/>
        </w:rPr>
        <w:t>Distribution of different types of constitutions in the dataset</w:t>
      </w:r>
    </w:p>
    <w:p>
      <w:pPr>
        <w:spacing w:before="156" w:beforeLines="50" w:line="360" w:lineRule="auto"/>
        <w:jc w:val="left"/>
        <w:rPr>
          <w:rFonts w:ascii="Times New Roman" w:hAnsi="宋体"/>
          <w:sz w:val="24"/>
          <w:szCs w:val="24"/>
        </w:rPr>
      </w:pPr>
      <w:r>
        <w:rPr>
          <w:rFonts w:ascii="Times New Roman" w:hAnsi="宋体" w:hint="eastAsia"/>
          <w:b/>
          <w:sz w:val="32"/>
          <w:szCs w:val="32"/>
        </w:rPr>
        <w:t>3  Model construction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Figure 3</w:t>
      </w:r>
      <w:r>
        <w:rPr>
          <w:rFonts w:ascii="Times New Roman" w:hAnsi="宋体" w:hint="eastAsia"/>
          <w:sz w:val="24"/>
          <w:szCs w:val="24"/>
        </w:rPr>
        <w:t xml:space="preserve"> represents the proposed model framework in this paper, which was divided into four distinct stages: data acquisition, feature extraction, data partitioning, and model training. During the data acquisition stage, a self-developed data acquisition equipment was used to capture full-body standing images. Additionally, the TCM constitution was assessed using the CCMQ, and the height and weight were also measured to construct an image dataset annotated with constitution labels.</w:t>
      </w:r>
    </w:p>
    <w:p>
      <w:pPr>
        <w:spacing w:before="200" w:after="100"/>
        <w:jc w:val="center"/>
      </w:pPr>
      <w:r>
        <w:drawing>
          <wp:inline distT="0" distR="0" distB="0" distL="0">
            <wp:extent cx="2742133" cy="2165909"/>
            <wp:docPr id="2" name="Drawing 2" descr="hukongfa-3.jpg"/>
            <a:graphic xmlns:a="http://schemas.openxmlformats.org/drawingml/2006/main">
              <a:graphicData uri="http://schemas.openxmlformats.org/drawingml/2006/picture">
                <pic:pic xmlns:pic="http://schemas.openxmlformats.org/drawingml/2006/picture">
                  <pic:nvPicPr>
                    <pic:cNvPr id="0" name="Picture 2" descr="hukongfa-3.jpg"/>
                    <pic:cNvPicPr>
                      <a:picLocks noChangeAspect="true"/>
                    </pic:cNvPicPr>
                  </pic:nvPicPr>
                  <pic:blipFill>
                    <a:blip r:embed="rId11"/>
                    <a:stretch>
                      <a:fillRect/>
                    </a:stretch>
                  </pic:blipFill>
                  <pic:spPr>
                    <a:xfrm>
                      <a:off x="0" y="0"/>
                      <a:ext cx="2742133" cy="2165909"/>
                    </a:xfrm>
                    <a:prstGeom prst="rect">
                      <a:avLst/>
                    </a:prstGeom>
                  </pic:spPr>
                </pic:pic>
              </a:graphicData>
            </a:graphic>
          </wp:inline>
        </w:drawing>
      </w:r>
    </w:p>
    <w:p>
      <w:pPr>
        <w:spacing w:after="200"/>
        <w:jc w:val="center"/>
      </w:pPr>
      <w:r>
        <w:rPr>
          <w:b w:val="true"/>
        </w:rPr>
        <w:t xml:space="preserve">Fig. 3  </w:t>
      </w:r>
      <w:r>
        <w:rPr>
          <w:b w:val="true"/>
        </w:rPr>
        <w:t>Framework of the proposed approach</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During the feature extraction phase, the facial color feature, body shape feature, deep feature, and BMI were all extracted and calculated as follows. (i) The YOLOv5 method was employed to identify the facial region in the full-body standing image. Subsequently, the red, green, and blue (RGB) facial image was converted to the HSV color space to extract the facial color feature </w:t>
      </w:r>
      <m:oMath xmlns:mml="http://www.w3.org/1998/Math/MathML">
        <m:sSub>
          <m:e>
            <m:r>
              <w:rPr>
                <w:rFonts w:ascii="Cambria Math" w:hAnsi="Cambria Math"/>
              </w:rPr>
              <m:t>f</m:t>
            </m:r>
          </m:e>
          <m:sub>
            <m:r>
              <w:rPr>
                <w:rFonts w:ascii="Cambria Math" w:hAnsi="Cambria Math"/>
              </w:rPr>
              <m:t>1</m:t>
            </m:r>
          </m:sub>
        </m:sSub>
      </m:oMath>
      <w:r>
        <w:rPr>
          <w:rFonts w:ascii="Times New Roman" w:hAnsi="宋体" w:hint="eastAsia"/>
          <w:sz w:val="24"/>
          <w:szCs w:val="24"/>
        </w:rPr>
        <w:t xml:space="preserve">. (ii) An improved LBP method was employed to extract the body shape feature </w:t>
      </w:r>
      <m:oMath xmlns:mml="http://www.w3.org/1998/Math/MathML">
        <m:sSub>
          <m:e>
            <m:r>
              <w:rPr>
                <w:rFonts w:ascii="Cambria Math" w:hAnsi="Cambria Math"/>
              </w:rPr>
              <m:t>f</m:t>
            </m:r>
          </m:e>
          <m:sub>
            <m:r>
              <w:rPr>
                <w:rFonts w:ascii="Cambria Math" w:hAnsi="Cambria Math"/>
              </w:rPr>
              <m:t>2</m:t>
            </m:r>
          </m:sub>
        </m:sSub>
      </m:oMath>
      <w:r>
        <w:rPr>
          <w:rFonts w:ascii="Times New Roman" w:hAnsi="宋体" w:hint="eastAsia"/>
          <w:sz w:val="24"/>
          <w:szCs w:val="24"/>
        </w:rPr>
        <w:t xml:space="preserve"> from the full-body standing image. (iii) The CResNet-ST method was utilized to collect the deep feature </w:t>
      </w:r>
      <m:oMath xmlns:mml="http://www.w3.org/1998/Math/MathML">
        <m:sSub>
          <m:e>
            <m:r>
              <w:rPr>
                <w:rFonts w:ascii="Cambria Math" w:hAnsi="Cambria Math"/>
              </w:rPr>
              <m:t>f</m:t>
            </m:r>
          </m:e>
          <m:sub>
            <m:r>
              <w:rPr>
                <w:rFonts w:ascii="Cambria Math" w:hAnsi="Cambria Math"/>
              </w:rPr>
              <m:t>3</m:t>
            </m:r>
          </m:sub>
        </m:sSub>
      </m:oMath>
      <w:r>
        <w:rPr>
          <w:rFonts w:ascii="Times New Roman" w:hAnsi="宋体" w:hint="eastAsia"/>
          <w:sz w:val="24"/>
          <w:szCs w:val="24"/>
        </w:rPr>
        <w:t xml:space="preserve"> from the full-body standing image. (iv) The BMI of the participants was calculated as </w:t>
      </w:r>
      <m:oMath xmlns:mml="http://www.w3.org/1998/Math/MathML">
        <m:sSub>
          <m:e>
            <m:r>
              <w:rPr>
                <w:rFonts w:ascii="Cambria Math" w:hAnsi="Cambria Math"/>
              </w:rPr>
              <m:t>f</m:t>
            </m:r>
          </m:e>
          <m:sub>
            <m:r>
              <w:rPr>
                <w:rFonts w:ascii="Cambria Math" w:hAnsi="Cambria Math"/>
              </w:rPr>
              <m:t>4</m:t>
            </m:r>
          </m:sub>
        </m:sSub>
        <m:r>
          <w:rPr>
            <w:rFonts w:ascii="Cambria Math" w:hAnsi="Cambria Math"/>
          </w:rPr>
          <m:t>=</m:t>
        </m:r>
        <m:r>
          <m:rPr>
            <m:sty m:val="p"/>
          </m:rPr>
          <w:rPr>
            <w:rFonts w:ascii="Cambria Math" w:hAnsi="Cambria Math"/>
          </w:rPr>
          <m:t>Weight</m:t>
        </m:r>
        <m:r>
          <w:rPr>
            <w:rFonts w:ascii="Cambria Math" w:hAnsi="Cambria Math"/>
          </w:rPr>
          <m:t>/</m:t>
        </m:r>
        <m:sSup>
          <m:e>
            <m:r>
              <m:rPr>
                <m:sty m:val="p"/>
              </m:rPr>
              <w:rPr>
                <w:rFonts w:ascii="Cambria Math" w:hAnsi="Cambria Math"/>
              </w:rPr>
              <m:t>Height</m:t>
            </m:r>
          </m:e>
          <m:sup>
            <m:r>
              <w:rPr>
                <w:rFonts w:ascii="Cambria Math" w:hAnsi="Cambria Math"/>
              </w:rPr>
              <m:t>2</m:t>
            </m:r>
          </m:sup>
        </m:sSup>
      </m:oMath>
      <w:r>
        <w:rPr>
          <w:rFonts w:ascii="Times New Roman" w:hAnsi="宋体" w:hint="eastAsia"/>
          <w:sz w:val="24"/>
          <w:szCs w:val="24"/>
        </w:rPr>
        <w:t xml:space="preserve">. Finally, the four </w:t>
      </w:r>
      <m:oMath xmlns:mml="http://www.w3.org/1998/Math/MathML">
        <m:sSub>
          <m:e>
            <m:r>
              <w:rPr>
                <w:rFonts w:ascii="Cambria Math" w:hAnsi="Cambria Math"/>
              </w:rPr>
              <m:t>f</m:t>
            </m:r>
          </m:e>
          <m:sub>
            <m:r>
              <w:rPr>
                <w:rFonts w:ascii="Cambria Math" w:hAnsi="Cambria Math"/>
              </w:rPr>
              <m:t>1</m:t>
            </m:r>
          </m:sub>
        </m:sSub>
      </m:oMath>
      <w:r>
        <w:rPr>
          <w:rFonts w:ascii="Times New Roman" w:hAnsi="宋体" w:hint="eastAsia"/>
          <w:sz w:val="24"/>
          <w:szCs w:val="24"/>
        </w:rPr>
        <w:t xml:space="preserve">, </w:t>
      </w:r>
      <m:oMath xmlns:mml="http://www.w3.org/1998/Math/MathML">
        <m:sSub>
          <m:e>
            <m:r>
              <w:rPr>
                <w:rFonts w:ascii="Cambria Math" w:hAnsi="Cambria Math"/>
              </w:rPr>
              <m:t>f</m:t>
            </m:r>
          </m:e>
          <m:sub>
            <m:r>
              <w:rPr>
                <w:rFonts w:ascii="Cambria Math" w:hAnsi="Cambria Math"/>
              </w:rPr>
              <m:t>2</m:t>
            </m:r>
          </m:sub>
        </m:sSub>
      </m:oMath>
      <w:r>
        <w:rPr>
          <w:rFonts w:ascii="Times New Roman" w:hAnsi="宋体" w:hint="eastAsia"/>
          <w:sz w:val="24"/>
          <w:szCs w:val="24"/>
        </w:rPr>
        <w:t xml:space="preserve">, </w:t>
      </w:r>
      <m:oMath xmlns:mml="http://www.w3.org/1998/Math/MathML">
        <m:sSub>
          <m:e>
            <m:r>
              <w:rPr>
                <w:rFonts w:ascii="Cambria Math" w:hAnsi="Cambria Math"/>
              </w:rPr>
              <m:t>f</m:t>
            </m:r>
          </m:e>
          <m:sub>
            <m:r>
              <w:rPr>
                <w:rFonts w:ascii="Cambria Math" w:hAnsi="Cambria Math"/>
              </w:rPr>
              <m:t>3</m:t>
            </m:r>
          </m:sub>
        </m:sSub>
      </m:oMath>
      <w:r>
        <w:rPr>
          <w:rFonts w:ascii="Times New Roman" w:hAnsi="宋体" w:hint="eastAsia"/>
          <w:sz w:val="24"/>
          <w:szCs w:val="24"/>
        </w:rPr>
        <w:t xml:space="preserve">, and </w:t>
      </w:r>
      <m:oMath xmlns:mml="http://www.w3.org/1998/Math/MathML">
        <m:sSub>
          <m:e>
            <m:r>
              <w:rPr>
                <w:rFonts w:ascii="Cambria Math" w:hAnsi="Cambria Math"/>
              </w:rPr>
              <m:t>f</m:t>
            </m:r>
          </m:e>
          <m:sub>
            <m:r>
              <w:rPr>
                <w:rFonts w:ascii="Cambria Math" w:hAnsi="Cambria Math"/>
              </w:rPr>
              <m:t>4</m:t>
            </m:r>
          </m:sub>
        </m:sSub>
      </m:oMath>
      <w:r>
        <w:rPr>
          <w:rFonts w:ascii="Times New Roman" w:hAnsi="宋体" w:hint="eastAsia"/>
          <w:sz w:val="24"/>
          <w:szCs w:val="24"/>
        </w:rPr>
        <w:t xml:space="preserve"> were concatenated to obtain </w:t>
      </w:r>
      <m:oMath xmlns:mml="http://www.w3.org/1998/Math/MathML">
        <m:r>
          <w:rPr>
            <w:rFonts w:ascii="Cambria Math" w:hAnsi="Cambria Math"/>
          </w:rPr>
          <m:t>f</m:t>
        </m:r>
      </m:oMath>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the data partitioning phase, the dataset was split into a training set and a test set in a 7 : 3 ratio. Approaches such as SVM, multilayer perceptron (MLP), random forest (RF), and k-nearest neighbor (KNN) were employed to train the model. Subsequently, images in the test set were input into the four established models for identifying TCM constitutions. The performance of the models was verified with corresponding evaluation measures of accuracy, precision, and F1 value. Of the models, the one that exhibited the best performance was chosen as the final TCM constitution identification model.</w:t>
      </w:r>
    </w:p>
    <w:p>
      <w:pPr>
        <w:spacing w:before="156" w:beforeLines="50" w:line="360" w:lineRule="auto"/>
        <w:jc w:val="left"/>
        <w:rPr>
          <w:rFonts w:ascii="Times New Roman" w:hAnsi="宋体"/>
          <w:sz w:val="24"/>
          <w:szCs w:val="24"/>
        </w:rPr>
      </w:pPr>
      <w:r>
        <w:rPr>
          <w:rFonts w:ascii="Times New Roman" w:hAnsi="宋体" w:hint="eastAsia"/>
          <w:b/>
          <w:sz w:val="26"/>
          <w:szCs w:val="32"/>
        </w:rPr>
        <w:t>3.1  Extraction of the facial color feature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facial color feature serves as the foundation for identifying TCM constitutions </w:t>
      </w:r>
      <w:r>
        <w:rPr>
          <w:rFonts w:ascii="Times New Roman" w:hAnsi="宋体" w:hint="eastAsia"/>
          <w:sz w:val="24"/>
          <w:szCs w:val="24"/>
          <w:vertAlign w:val="superscript"/>
        </w:rPr>
        <w:t>[</w:t>
      </w:r>
      <w:r>
        <w:rPr>
          <w:rFonts w:ascii="Times New Roman" w:hAnsi="宋体" w:hint="eastAsia"/>
          <w:sz w:val="24"/>
          <w:szCs w:val="24"/>
          <w:vertAlign w:val="superscript"/>
        </w:rPr>
        <w:t>30</w:t>
      </w:r>
      <w:r>
        <w:rPr>
          <w:rFonts w:ascii="Times New Roman" w:hAnsi="宋体" w:hint="eastAsia"/>
          <w:sz w:val="24"/>
          <w:szCs w:val="24"/>
          <w:vertAlign w:val="superscript"/>
        </w:rPr>
        <w:t>]</w:t>
      </w:r>
      <w:r>
        <w:rPr>
          <w:rFonts w:ascii="Times New Roman" w:hAnsi="宋体" w:hint="eastAsia"/>
          <w:sz w:val="24"/>
          <w:szCs w:val="24"/>
        </w:rPr>
        <w:t>. It is a critical visual feature in the image that is insensitive to translation, scaling, or rotation, displaying a strong robustness. In this study, the facial color feature was extracted based on HSV color space (</w:t>
      </w:r>
      <w:r>
        <w:rPr>
          <w:rFonts w:ascii="Times New Roman" w:hAnsi="宋体" w:hint="eastAsia"/>
          <w:sz w:val="24"/>
          <w:szCs w:val="24"/>
        </w:rPr>
        <w:t>Figure 4</w:t>
      </w:r>
      <w:r>
        <w:rPr>
          <w:rFonts w:ascii="Times New Roman" w:hAnsi="宋体" w:hint="eastAsia"/>
          <w:sz w:val="24"/>
          <w:szCs w:val="24"/>
        </w:rPr>
        <w:t>).</w:t>
      </w:r>
    </w:p>
    <w:p>
      <w:pPr>
        <w:spacing w:before="200" w:after="100"/>
        <w:jc w:val="center"/>
      </w:pPr>
      <w:r>
        <w:drawing>
          <wp:inline distT="0" distR="0" distB="0" distL="0">
            <wp:extent cx="4896612" cy="1956054"/>
            <wp:docPr id="3" name="Drawing 3" descr="hukongfa-4.jpg"/>
            <a:graphic xmlns:a="http://schemas.openxmlformats.org/drawingml/2006/main">
              <a:graphicData uri="http://schemas.openxmlformats.org/drawingml/2006/picture">
                <pic:pic xmlns:pic="http://schemas.openxmlformats.org/drawingml/2006/picture">
                  <pic:nvPicPr>
                    <pic:cNvPr id="0" name="Picture 3" descr="hukongfa-4.jpg"/>
                    <pic:cNvPicPr>
                      <a:picLocks noChangeAspect="true"/>
                    </pic:cNvPicPr>
                  </pic:nvPicPr>
                  <pic:blipFill>
                    <a:blip r:embed="rId12"/>
                    <a:stretch>
                      <a:fillRect/>
                    </a:stretch>
                  </pic:blipFill>
                  <pic:spPr>
                    <a:xfrm>
                      <a:off x="0" y="0"/>
                      <a:ext cx="4896612" cy="1956054"/>
                    </a:xfrm>
                    <a:prstGeom prst="rect">
                      <a:avLst/>
                    </a:prstGeom>
                  </pic:spPr>
                </pic:pic>
              </a:graphicData>
            </a:graphic>
          </wp:inline>
        </w:drawing>
      </w:r>
    </w:p>
    <w:p>
      <w:pPr>
        <w:spacing w:after="200"/>
        <w:jc w:val="center"/>
      </w:pPr>
      <w:r>
        <w:rPr>
          <w:b w:val="true"/>
        </w:rPr>
        <w:t xml:space="preserve">Fig. 4  </w:t>
      </w:r>
      <w:r>
        <w:rPr>
          <w:b w:val="true"/>
        </w:rPr>
        <w:t>Facial color feature extraction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Firstly, the object detection algorithm YOLOv5 </w:t>
      </w:r>
      <w:r>
        <w:rPr>
          <w:rFonts w:ascii="Times New Roman" w:hAnsi="宋体" w:hint="eastAsia"/>
          <w:sz w:val="24"/>
          <w:szCs w:val="24"/>
          <w:vertAlign w:val="superscript"/>
        </w:rPr>
        <w:t>[</w:t>
      </w:r>
      <w:r>
        <w:rPr>
          <w:rFonts w:ascii="Times New Roman" w:hAnsi="宋体" w:hint="eastAsia"/>
          <w:sz w:val="24"/>
          <w:szCs w:val="24"/>
          <w:vertAlign w:val="superscript"/>
        </w:rPr>
        <w:t>31</w:t>
      </w:r>
      <w:r>
        <w:rPr>
          <w:rFonts w:ascii="Times New Roman" w:hAnsi="宋体" w:hint="eastAsia"/>
          <w:sz w:val="24"/>
          <w:szCs w:val="24"/>
          <w:vertAlign w:val="superscript"/>
        </w:rPr>
        <w:t>]</w:t>
      </w:r>
      <w:r>
        <w:rPr>
          <w:rFonts w:ascii="Times New Roman" w:hAnsi="宋体" w:hint="eastAsia"/>
          <w:sz w:val="24"/>
          <w:szCs w:val="24"/>
        </w:rPr>
        <w:t xml:space="preserve"> was utilized to analyze the full-body standing images so as to obtain the facial complexion, or in other terms, facial color. </w:t>
      </w:r>
      <w:r>
        <w:rPr>
          <w:rFonts w:ascii="Times New Roman" w:hAnsi="宋体" w:hint="eastAsia"/>
          <w:sz w:val="24"/>
          <w:szCs w:val="24"/>
        </w:rPr>
        <w:t>Figure 4</w:t>
      </w:r>
      <w:r>
        <w:rPr>
          <w:rFonts w:ascii="Times New Roman" w:hAnsi="宋体" w:hint="eastAsia"/>
          <w:sz w:val="24"/>
          <w:szCs w:val="24"/>
        </w:rPr>
        <w:t xml:space="preserve"> shows that the network architecture of YOLOv5 is divided into image input, backbone, neck, and detection head. The backbone, the core of the network, comprises modules such as Convolution Batchnorm SiLu (CBS), cross-stage partial network (CSP), and spatial pyramid pooling-fast (SPPF). The CBS module consists of convolutional layer, normalization, and activation function, facilitating effective down-sampling. The CSP module diminishes network complexity and computational demands, while SPPF dynamically adapts feature maps of varying sizes into uniform feature vectors. The neck is designed according to the feature pyramid and channel aggregation structures, enhancing feature integration. The detection header outputs the location, class, and confidence of the object.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Subsequently, the RGB image capturing the facial color feature was converted into HSV color space using Equations (1) − (3), where </w:t>
      </w:r>
      <w:r>
        <w:rPr>
          <w:rFonts w:ascii="Times New Roman" w:hAnsi="宋体" w:hint="eastAsia"/>
          <w:i w:val="true"/>
          <w:sz w:val="24"/>
          <w:szCs w:val="24"/>
        </w:rPr>
        <w:t>H</w:t>
      </w:r>
      <w:r>
        <w:rPr>
          <w:rFonts w:ascii="Times New Roman" w:hAnsi="宋体" w:hint="eastAsia"/>
          <w:sz w:val="24"/>
          <w:szCs w:val="24"/>
        </w:rPr>
        <w:t xml:space="preserve"> represents hue, </w:t>
      </w:r>
      <w:r>
        <w:rPr>
          <w:rFonts w:ascii="Times New Roman" w:hAnsi="宋体" w:hint="eastAsia"/>
          <w:i w:val="true"/>
          <w:sz w:val="24"/>
          <w:szCs w:val="24"/>
        </w:rPr>
        <w:t>S</w:t>
      </w:r>
      <w:r>
        <w:rPr>
          <w:rFonts w:ascii="Times New Roman" w:hAnsi="宋体" w:hint="eastAsia"/>
          <w:sz w:val="24"/>
          <w:szCs w:val="24"/>
        </w:rPr>
        <w:t xml:space="preserve"> represents saturation, and </w:t>
      </w:r>
      <w:r>
        <w:rPr>
          <w:rFonts w:ascii="Times New Roman" w:hAnsi="宋体" w:hint="eastAsia"/>
          <w:i w:val="true"/>
          <w:sz w:val="24"/>
          <w:szCs w:val="24"/>
        </w:rPr>
        <w:t>V</w:t>
      </w:r>
      <w:r>
        <w:rPr>
          <w:rFonts w:ascii="Times New Roman" w:hAnsi="宋体" w:hint="eastAsia"/>
          <w:sz w:val="24"/>
          <w:szCs w:val="24"/>
        </w:rPr>
        <w:t xml:space="preserve"> represents brightness. Notably, the HSV color space offers a distinct advantage over the RGB model by decoupling image brightness from color information, leading to a color representation that more closely mirrors the human visual perception of color </w:t>
      </w:r>
      <w:r>
        <w:rPr>
          <w:rFonts w:ascii="Times New Roman" w:hAnsi="宋体" w:hint="eastAsia"/>
          <w:sz w:val="24"/>
          <w:szCs w:val="24"/>
          <w:vertAlign w:val="superscript"/>
        </w:rPr>
        <w:t>[</w:t>
      </w:r>
      <w:r>
        <w:rPr>
          <w:rFonts w:ascii="Times New Roman" w:hAnsi="宋体" w:hint="eastAsia"/>
          <w:sz w:val="24"/>
          <w:szCs w:val="24"/>
          <w:vertAlign w:val="superscript"/>
        </w:rPr>
        <w:t>32</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H</m:t>
            </m:r>
          </m:e>
          <m:sub>
            <m:r>
              <w:rPr>
                <w:rFonts w:ascii="Cambria Math" w:hAnsi="Cambria Math"/>
              </w:rPr>
              <m:t>ij</m:t>
            </m:r>
          </m:sub>
        </m:sSub>
        <m:r>
          <w:rPr>
            <w:rFonts w:ascii="Cambria Math" w:hAnsi="Cambria Math"/>
          </w:rPr>
          <m:t>=</m:t>
        </m:r>
        <m:r>
          <w:rPr>
            <w:rFonts w:ascii="Cambria Math" w:hAnsi="Cambria Math"/>
          </w:rPr>
          <m:t>{</m:t>
        </m:r>
        <m:m>
          <m:mPr>
            <m:baseJc m:val="center"/>
            <m:plcHide m:val="on"/>
            <m:mcs>
              <m:mc>
                <m:mcPr>
                  <m:count m:val="2"/>
                  <m:mcJc m:val="center"/>
                </m:mcPr>
              </m:mc>
            </m:mcs>
          </m:mPr>
          <m:mr>
            <m:e/>
            <m:e>
              <m:r>
                <m:rPr>
                  <m:nor/>
                </m:rPr>
                <w:rPr>
                  <w:rFonts w:ascii="Cambria Math" w:hAnsi="Cambria Math"/>
                </w:rPr>
                <m:t>arccos</m:t>
              </m:r>
              <m:f>
                <m:fPr>
                  <m:type m:val="bar"/>
                </m:fPr>
                <m:num>
                  <m:argPr>
                    <m:scrLvl m:val="0"/>
                  </m:argPr>
                  <m:f>
                    <m:fPr>
                      <m:type m:val="bar"/>
                    </m:fPr>
                    <m:num>
                      <m:argPr>
                        <m:scrLvl m:val="0"/>
                      </m:argPr>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B</m:t>
                          </m:r>
                        </m:e>
                        <m:sub>
                          <m:argPr>
                            <m:scrLvl m:val="0"/>
                          </m:argPr>
                          <m:r>
                            <w:rPr>
                              <w:rFonts w:ascii="Cambria Math" w:hAnsi="Cambria Math"/>
                            </w:rPr>
                            <m:t>ij</m:t>
                          </m:r>
                        </m:sub>
                      </m:sSub>
                      <m:r>
                        <w:rPr>
                          <w:rFonts w:ascii="Cambria Math" w:hAnsi="Cambria Math"/>
                        </w:rPr>
                        <m:t>)</m:t>
                      </m:r>
                      <m:r>
                        <w:rPr>
                          <w:rFonts w:ascii="Cambria Math" w:hAnsi="Cambria Math"/>
                        </w:rPr>
                        <m:t>]</m:t>
                      </m:r>
                    </m:num>
                    <m:den>
                      <m:argPr>
                        <m:scrLvl m:val="0"/>
                      </m:argPr>
                      <m:r>
                        <w:rPr>
                          <w:rFonts w:ascii="Cambria Math" w:hAnsi="Cambria Math"/>
                        </w:rPr>
                        <m:t>2</m:t>
                      </m:r>
                    </m:den>
                  </m:f>
                </m:num>
                <m:den>
                  <m:argPr>
                    <m:scrLvl m:val="0"/>
                  </m:argPr>
                  <m:sSup>
                    <m:e>
                      <m:argPr>
                        <m:scrLvl m:val="0"/>
                      </m:argPr>
                      <m:r>
                        <w:rPr>
                          <w:rFonts w:ascii="Cambria Math" w:hAnsi="Cambria Math"/>
                        </w:rPr>
                        <m:t>[</m:t>
                      </m:r>
                      <m:sSup>
                        <m:e>
                          <m:argPr>
                            <m:scrLvl m:val="0"/>
                          </m:argP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e>
                        <m:sup>
                          <m:argPr>
                            <m:scrLvl m:val="0"/>
                          </m:argPr>
                          <m:r>
                            <w:rPr>
                              <w:rFonts w:ascii="Cambria Math" w:hAnsi="Cambria Math"/>
                            </w:rPr>
                            <m:t>2</m:t>
                          </m:r>
                        </m:sup>
                      </m:sSup>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B</m:t>
                          </m:r>
                        </m:e>
                        <m:sub>
                          <m:argPr>
                            <m:scrLvl m:val="0"/>
                          </m:argPr>
                          <m:r>
                            <w:rPr>
                              <w:rFonts w:ascii="Cambria Math" w:hAnsi="Cambria Math"/>
                            </w:rPr>
                            <m:t>ij</m:t>
                          </m:r>
                        </m:sub>
                      </m:sSub>
                      <m:r>
                        <w:rPr>
                          <w:rFonts w:ascii="Cambria Math" w:hAnsi="Cambria Math"/>
                        </w:rPr>
                        <m:t>)</m:t>
                      </m:r>
                      <m:r>
                        <w:rPr>
                          <w:rFonts w:ascii="Cambria Math" w:hAnsi="Cambria Math"/>
                        </w:rPr>
                        <m:t>+</m:t>
                      </m:r>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B</m:t>
                          </m:r>
                        </m:e>
                        <m:sub>
                          <m:argPr>
                            <m:scrLvl m:val="0"/>
                          </m:argPr>
                          <m:r>
                            <w:rPr>
                              <w:rFonts w:ascii="Cambria Math" w:hAnsi="Cambria Math"/>
                            </w:rPr>
                            <m:t>ij</m:t>
                          </m:r>
                        </m:sub>
                      </m:sSub>
                      <m:r>
                        <w:rPr>
                          <w:rFonts w:ascii="Cambria Math" w:hAnsi="Cambria Math"/>
                        </w:rPr>
                        <m:t>)</m:t>
                      </m:r>
                      <m:r>
                        <w:rPr>
                          <w:rFonts w:ascii="Cambria Math" w:hAnsi="Cambria Math"/>
                        </w:rPr>
                        <m:t>]</m:t>
                      </m:r>
                    </m:e>
                    <m:sup>
                      <m:argPr>
                        <m:scrLvl m:val="0"/>
                      </m:argPr>
                      <m:f>
                        <m:fPr>
                          <m:type m:val="bar"/>
                        </m:fPr>
                        <m:num>
                          <m:argPr>
                            <m:scrLvl m:val="0"/>
                          </m:argPr>
                          <m:r>
                            <w:rPr>
                              <w:rFonts w:ascii="Cambria Math" w:hAnsi="Cambria Math"/>
                            </w:rPr>
                            <m:t>1</m:t>
                          </m:r>
                        </m:num>
                        <m:den>
                          <m:argPr>
                            <m:scrLvl m:val="0"/>
                          </m:argPr>
                          <m:r>
                            <w:rPr>
                              <w:rFonts w:ascii="Cambria Math" w:hAnsi="Cambria Math"/>
                            </w:rPr>
                            <m:t>2</m:t>
                          </m:r>
                        </m:den>
                      </m:f>
                    </m:sup>
                  </m:sSup>
                </m:den>
              </m:f>
              <m:r>
                <w:rPr>
                  <w:rFonts w:ascii="Cambria Math" w:hAnsi="Cambria Math"/>
                </w:rPr>
                <m:t>,</m:t>
              </m:r>
            </m:e>
          </m:mr>
          <m:mr>
            <m:e/>
            <m:e>
              <m:sSub>
                <m:e>
                  <m:r>
                    <w:rPr>
                      <w:rFonts w:ascii="Cambria Math" w:hAnsi="Cambria Math"/>
                    </w:rPr>
                    <m:t>B</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e>
          </m:mr>
          <m:mr>
            <m:e/>
            <m:e>
              <m:r>
                <w:rPr>
                  <w:rFonts w:ascii="Cambria Math" w:hAnsi="Cambria Math"/>
                </w:rPr>
                <m:t>2</m:t>
              </m:r>
              <m:r>
                <m:rPr>
                  <m:nor/>
                </m:rPr>
                <w:rPr>
                  <w:rFonts w:ascii="Cambria Math" w:hAnsi="Cambria Math"/>
                </w:rPr>
                <m:t>π</m:t>
              </m:r>
              <m:r>
                <w:rPr>
                  <w:rFonts w:ascii="Cambria Math" w:hAnsi="Cambria Math"/>
                </w:rPr>
                <m:t>−</m:t>
              </m:r>
              <m:r>
                <m:rPr>
                  <m:nor/>
                </m:rPr>
                <w:rPr>
                  <w:rFonts w:ascii="Cambria Math" w:hAnsi="Cambria Math"/>
                </w:rPr>
                <m:t>arccos</m:t>
              </m:r>
              <m:f>
                <m:fPr>
                  <m:type m:val="bar"/>
                </m:fPr>
                <m:num>
                  <m:argPr>
                    <m:scrLvl m:val="0"/>
                  </m:argPr>
                  <m:f>
                    <m:fPr>
                      <m:type m:val="bar"/>
                    </m:fPr>
                    <m:num>
                      <m:argPr>
                        <m:scrLvl m:val="0"/>
                      </m:argPr>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B</m:t>
                          </m:r>
                        </m:e>
                        <m:sub>
                          <m:argPr>
                            <m:scrLvl m:val="0"/>
                          </m:argPr>
                          <m:r>
                            <w:rPr>
                              <w:rFonts w:ascii="Cambria Math" w:hAnsi="Cambria Math"/>
                            </w:rPr>
                            <m:t>ij</m:t>
                          </m:r>
                        </m:sub>
                      </m:sSub>
                      <m:r>
                        <w:rPr>
                          <w:rFonts w:ascii="Cambria Math" w:hAnsi="Cambria Math"/>
                        </w:rPr>
                        <m:t>)</m:t>
                      </m:r>
                      <m:r>
                        <w:rPr>
                          <w:rFonts w:ascii="Cambria Math" w:hAnsi="Cambria Math"/>
                        </w:rPr>
                        <m:t>]</m:t>
                      </m:r>
                    </m:num>
                    <m:den>
                      <m:argPr>
                        <m:scrLvl m:val="0"/>
                      </m:argPr>
                      <m:r>
                        <w:rPr>
                          <w:rFonts w:ascii="Cambria Math" w:hAnsi="Cambria Math"/>
                        </w:rPr>
                        <m:t>2</m:t>
                      </m:r>
                    </m:den>
                  </m:f>
                </m:num>
                <m:den>
                  <m:argPr>
                    <m:scrLvl m:val="0"/>
                  </m:argPr>
                  <m:sSup>
                    <m:e>
                      <m:argPr>
                        <m:scrLvl m:val="0"/>
                      </m:argPr>
                      <m:r>
                        <w:rPr>
                          <w:rFonts w:ascii="Cambria Math" w:hAnsi="Cambria Math"/>
                        </w:rPr>
                        <m:t>[</m:t>
                      </m:r>
                      <m:sSup>
                        <m:e>
                          <m:argPr>
                            <m:scrLvl m:val="0"/>
                          </m:argP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e>
                        <m:sup>
                          <m:argPr>
                            <m:scrLvl m:val="0"/>
                          </m:argPr>
                          <m:r>
                            <w:rPr>
                              <w:rFonts w:ascii="Cambria Math" w:hAnsi="Cambria Math"/>
                            </w:rPr>
                            <m:t>2</m:t>
                          </m:r>
                        </m:sup>
                      </m:sSup>
                      <m:r>
                        <w:rPr>
                          <w:rFonts w:ascii="Cambria Math" w:hAnsi="Cambria Math"/>
                        </w:rPr>
                        <m:t>+</m:t>
                      </m:r>
                      <m:r>
                        <w:rPr>
                          <w:rFonts w:ascii="Cambria Math" w:hAnsi="Cambria Math"/>
                        </w:rPr>
                        <m:t>(</m:t>
                      </m:r>
                      <m:sSub>
                        <m:e>
                          <m:argPr>
                            <m:scrLvl m:val="0"/>
                          </m:argPr>
                          <m:r>
                            <w:rPr>
                              <w:rFonts w:ascii="Cambria Math" w:hAnsi="Cambria Math"/>
                            </w:rPr>
                            <m:t>R</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r>
                        <w:rPr>
                          <w:rFonts w:ascii="Cambria Math" w:hAnsi="Cambria Math"/>
                        </w:rPr>
                        <m:t>+</m:t>
                      </m:r>
                      <m:r>
                        <w:rPr>
                          <w:rFonts w:ascii="Cambria Math" w:hAnsi="Cambria Math"/>
                        </w:rPr>
                        <m:t>(</m:t>
                      </m:r>
                      <m:sSub>
                        <m:e>
                          <m:argPr>
                            <m:scrLvl m:val="0"/>
                          </m:argPr>
                          <m:r>
                            <w:rPr>
                              <w:rFonts w:ascii="Cambria Math" w:hAnsi="Cambria Math"/>
                            </w:rPr>
                            <m:t>G</m:t>
                          </m:r>
                        </m:e>
                        <m:sub>
                          <m:argPr>
                            <m:scrLvl m:val="0"/>
                          </m:argPr>
                          <m:r>
                            <w:rPr>
                              <w:rFonts w:ascii="Cambria Math" w:hAnsi="Cambria Math"/>
                            </w:rPr>
                            <m:t>ij</m:t>
                          </m:r>
                        </m:sub>
                      </m:sSub>
                      <m:r>
                        <w:rPr>
                          <w:rFonts w:ascii="Cambria Math" w:hAnsi="Cambria Math"/>
                        </w:rPr>
                        <m:t>−</m:t>
                      </m:r>
                      <m:sSub>
                        <m:e>
                          <m:argPr>
                            <m:scrLvl m:val="0"/>
                          </m:argPr>
                          <m:r>
                            <w:rPr>
                              <w:rFonts w:ascii="Cambria Math" w:hAnsi="Cambria Math"/>
                            </w:rPr>
                            <m:t>B</m:t>
                          </m:r>
                        </m:e>
                        <m:sub>
                          <m:argPr>
                            <m:scrLvl m:val="0"/>
                          </m:argPr>
                          <m:r>
                            <w:rPr>
                              <w:rFonts w:ascii="Cambria Math" w:hAnsi="Cambria Math"/>
                            </w:rPr>
                            <m:t>ij</m:t>
                          </m:r>
                        </m:sub>
                      </m:sSub>
                      <m:r>
                        <w:rPr>
                          <w:rFonts w:ascii="Cambria Math" w:hAnsi="Cambria Math"/>
                        </w:rPr>
                        <m:t>)</m:t>
                      </m:r>
                      <m:r>
                        <w:rPr>
                          <w:rFonts w:ascii="Cambria Math" w:hAnsi="Cambria Math"/>
                        </w:rPr>
                        <m:t>]</m:t>
                      </m:r>
                    </m:e>
                    <m:sup>
                      <m:argPr>
                        <m:scrLvl m:val="0"/>
                      </m:argPr>
                      <m:f>
                        <m:fPr>
                          <m:type m:val="bar"/>
                        </m:fPr>
                        <m:num>
                          <m:argPr>
                            <m:scrLvl m:val="0"/>
                          </m:argPr>
                          <m:r>
                            <w:rPr>
                              <w:rFonts w:ascii="Cambria Math" w:hAnsi="Cambria Math"/>
                            </w:rPr>
                            <m:t>1</m:t>
                          </m:r>
                        </m:num>
                        <m:den>
                          <m:argPr>
                            <m:scrLvl m:val="0"/>
                          </m:argPr>
                          <m:r>
                            <w:rPr>
                              <w:rFonts w:ascii="Cambria Math" w:hAnsi="Cambria Math"/>
                            </w:rPr>
                            <m:t>2</m:t>
                          </m:r>
                        </m:den>
                      </m:f>
                    </m:sup>
                  </m:sSup>
                </m:den>
              </m:f>
              <m:r>
                <w:rPr>
                  <w:rFonts w:ascii="Cambria Math" w:hAnsi="Cambria Math"/>
                </w:rPr>
                <m:t>,</m:t>
              </m:r>
            </m:e>
          </m:mr>
          <m:mr>
            <m:e/>
            <m:e>
              <m:sSub>
                <m:e>
                  <m:r>
                    <w:rPr>
                      <w:rFonts w:ascii="Cambria Math" w:hAnsi="Cambria Math"/>
                    </w:rPr>
                    <m:t>B</m:t>
                  </m:r>
                </m:e>
                <m:sub>
                  <m:r>
                    <w:rPr>
                      <w:rFonts w:ascii="Cambria Math" w:hAnsi="Cambria Math"/>
                    </w:rPr>
                    <m:t>ij</m:t>
                  </m:r>
                </m:sub>
              </m:sSub>
              <m:r>
                <w:rPr>
                  <w:rFonts w:ascii="Cambria Math" w:hAnsi="Cambria Math"/>
                </w:rPr>
                <m:t>&gt;</m:t>
              </m:r>
              <m:sSub>
                <m:e>
                  <m:r>
                    <w:rPr>
                      <w:rFonts w:ascii="Cambria Math" w:hAnsi="Cambria Math"/>
                    </w:rPr>
                    <m:t>G</m:t>
                  </m:r>
                </m:e>
                <m:sub>
                  <m:r>
                    <w:rPr>
                      <w:rFonts w:ascii="Cambria Math" w:hAnsi="Cambria Math"/>
                    </w:rPr>
                    <m:t>ij</m:t>
                  </m:r>
                </m:sub>
              </m:sSub>
            </m:e>
          </m:mr>
        </m:m>
        <m:r>
          <w:rPr>
            <w:rFonts w:ascii="Cambria Math" w:hAnsi="Cambria Math"/>
          </w:rPr>
          <m:t/>
        </m:r>
      </m:oMath>
      <w:r>
        <w:tab/>
        <w:tab/>
        <w:tab/>
        <w:t>(1)</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w:t>
      </w:r>
      <m:oMath xmlns:mml="http://www.w3.org/1998/Math/MathML">
        <m:sSub>
          <m:e>
            <m:r>
              <w:rPr>
                <w:rFonts w:ascii="Cambria Math" w:hAnsi="Cambria Math"/>
              </w:rPr>
              <m:t>R</m:t>
            </m:r>
          </m:e>
          <m:sub>
            <m:r>
              <w:rPr>
                <w:rFonts w:ascii="Cambria Math" w:hAnsi="Cambria Math"/>
              </w:rPr>
              <m:t>ij</m:t>
            </m:r>
          </m:sub>
        </m:sSub>
      </m:oMath>
      <w:r>
        <w:rPr>
          <w:rFonts w:ascii="Times New Roman" w:hAnsi="宋体" w:hint="eastAsia"/>
          <w:sz w:val="24"/>
          <w:szCs w:val="24"/>
        </w:rPr>
        <w:t xml:space="preserve">, </w:t>
      </w:r>
      <m:oMath xmlns:mml="http://www.w3.org/1998/Math/MathML">
        <m:sSub>
          <m:e>
            <m:r>
              <w:rPr>
                <w:rFonts w:ascii="Cambria Math" w:hAnsi="Cambria Math"/>
              </w:rPr>
              <m:t>G</m:t>
            </m:r>
          </m:e>
          <m:sub>
            <m:r>
              <w:rPr>
                <w:rFonts w:ascii="Cambria Math" w:hAnsi="Cambria Math"/>
              </w:rPr>
              <m:t>ij</m:t>
            </m:r>
          </m:sub>
        </m:sSub>
      </m:oMath>
      <w:r>
        <w:rPr>
          <w:rFonts w:ascii="Times New Roman" w:hAnsi="宋体" w:hint="eastAsia"/>
          <w:sz w:val="24"/>
          <w:szCs w:val="24"/>
        </w:rPr>
        <w:t xml:space="preserve">, and </w:t>
      </w:r>
      <m:oMath xmlns:mml="http://www.w3.org/1998/Math/MathML">
        <m:sSub>
          <m:e>
            <m:r>
              <w:rPr>
                <w:rFonts w:ascii="Cambria Math" w:hAnsi="Cambria Math"/>
              </w:rPr>
              <m:t>B</m:t>
            </m:r>
          </m:e>
          <m:sub>
            <m:r>
              <w:rPr>
                <w:rFonts w:ascii="Cambria Math" w:hAnsi="Cambria Math"/>
              </w:rPr>
              <m:t>ij</m:t>
            </m:r>
          </m:sub>
        </m:sSub>
      </m:oMath>
      <w:r>
        <w:rPr>
          <w:rFonts w:ascii="Times New Roman" w:hAnsi="宋体" w:hint="eastAsia"/>
          <w:sz w:val="24"/>
          <w:szCs w:val="24"/>
        </w:rPr>
        <w:t xml:space="preserve"> denote the pixel values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within the RGB channels of the image, and </w:t>
      </w:r>
      <m:oMath xmlns:mml="http://www.w3.org/1998/Math/MathML">
        <m:sSub>
          <m:e>
            <m:r>
              <w:rPr>
                <w:rFonts w:ascii="Cambria Math" w:hAnsi="Cambria Math"/>
              </w:rPr>
              <m:t>H</m:t>
            </m:r>
          </m:e>
          <m:sub>
            <m:r>
              <w:rPr>
                <w:rFonts w:ascii="Cambria Math" w:hAnsi="Cambria Math"/>
              </w:rPr>
              <m:t>ij</m:t>
            </m:r>
          </m:sub>
        </m:sSub>
      </m:oMath>
      <w:r>
        <w:rPr>
          <w:rFonts w:ascii="Times New Roman" w:hAnsi="宋体" w:hint="eastAsia"/>
          <w:sz w:val="24"/>
          <w:szCs w:val="24"/>
        </w:rPr>
        <w:t xml:space="preserve">, </w:t>
      </w:r>
      <m:oMath xmlns:mml="http://www.w3.org/1998/Math/MathML">
        <m:sSub>
          <m:e>
            <m:r>
              <w:rPr>
                <w:rFonts w:ascii="Cambria Math" w:hAnsi="Cambria Math"/>
              </w:rPr>
              <m:t>S</m:t>
            </m:r>
          </m:e>
          <m:sub>
            <m:r>
              <w:rPr>
                <w:rFonts w:ascii="Cambria Math" w:hAnsi="Cambria Math"/>
              </w:rPr>
              <m:t>ij</m:t>
            </m:r>
          </m:sub>
        </m:sSub>
      </m:oMath>
      <w:r>
        <w:rPr>
          <w:rFonts w:ascii="Times New Roman" w:hAnsi="宋体" w:hint="eastAsia"/>
          <w:sz w:val="24"/>
          <w:szCs w:val="24"/>
        </w:rPr>
        <w:t xml:space="preserve">, and </w:t>
      </w:r>
      <m:oMath xmlns:mml="http://www.w3.org/1998/Math/MathML">
        <m:sSub>
          <m:e>
            <m:r>
              <w:rPr>
                <w:rFonts w:ascii="Cambria Math" w:hAnsi="Cambria Math"/>
              </w:rPr>
              <m:t>V</m:t>
            </m:r>
          </m:e>
          <m:sub>
            <m:r>
              <w:rPr>
                <w:rFonts w:ascii="Cambria Math" w:hAnsi="Cambria Math"/>
              </w:rPr>
              <m:t>ij</m:t>
            </m:r>
          </m:sub>
        </m:sSub>
      </m:oMath>
      <w:r>
        <w:rPr>
          <w:rFonts w:ascii="Times New Roman" w:hAnsi="宋体" w:hint="eastAsia"/>
          <w:sz w:val="24"/>
          <w:szCs w:val="24"/>
        </w:rPr>
        <w:t xml:space="preserve"> represent the pixel values at the same spatial position but within the HSV channels of the image.</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S</m:t>
            </m:r>
          </m:e>
          <m:sub>
            <m:r>
              <w:rPr>
                <w:rFonts w:ascii="Cambria Math" w:hAnsi="Cambria Math"/>
              </w:rPr>
              <m:t>ij</m:t>
            </m:r>
          </m:sub>
        </m:sSub>
        <m:r>
          <w:rPr>
            <w:rFonts w:ascii="Cambria Math" w:hAnsi="Cambria Math"/>
          </w:rPr>
          <m:t>=</m:t>
        </m:r>
        <m:f>
          <m:fPr>
            <m:type m:val="bar"/>
          </m:fPr>
          <m:num>
            <m:r>
              <w:rPr>
                <w:rFonts w:ascii="Cambria Math" w:hAnsi="Cambria Math"/>
              </w:rPr>
              <m:t>max</m:t>
            </m:r>
            <m:r>
              <w:rPr>
                <w:rFonts w:ascii="Cambria Math" w:hAnsi="Cambria Math"/>
              </w:rPr>
              <m:t>(</m:t>
            </m:r>
            <m:sSub>
              <m:e>
                <m:r>
                  <w:rPr>
                    <w:rFonts w:ascii="Cambria Math" w:hAnsi="Cambria Math"/>
                  </w:rPr>
                  <m:t>R</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sSub>
              <m:e>
                <m:r>
                  <w:rPr>
                    <w:rFonts w:ascii="Cambria Math" w:hAnsi="Cambria Math"/>
                  </w:rPr>
                  <m:t>B</m:t>
                </m:r>
              </m:e>
              <m:sub>
                <m:r>
                  <w:rPr>
                    <w:rFonts w:ascii="Cambria Math" w:hAnsi="Cambria Math"/>
                  </w:rPr>
                  <m:t>ij</m:t>
                </m:r>
              </m:sub>
            </m:sSub>
            <m:r>
              <w:rPr>
                <w:rFonts w:ascii="Cambria Math" w:hAnsi="Cambria Math"/>
              </w:rPr>
              <m:t>)</m:t>
            </m:r>
            <m:r>
              <w:rPr>
                <w:rFonts w:ascii="Cambria Math" w:hAnsi="Cambria Math"/>
              </w:rPr>
              <m:t>−min</m:t>
            </m:r>
            <m:r>
              <w:rPr>
                <w:rFonts w:ascii="Cambria Math" w:hAnsi="Cambria Math"/>
              </w:rPr>
              <m:t>(</m:t>
            </m:r>
            <m:sSub>
              <m:e>
                <m:r>
                  <w:rPr>
                    <w:rFonts w:ascii="Cambria Math" w:hAnsi="Cambria Math"/>
                  </w:rPr>
                  <m:t>R</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sSub>
              <m:e>
                <m:r>
                  <w:rPr>
                    <w:rFonts w:ascii="Cambria Math" w:hAnsi="Cambria Math"/>
                  </w:rPr>
                  <m:t>B</m:t>
                </m:r>
              </m:e>
              <m:sub>
                <m:r>
                  <w:rPr>
                    <w:rFonts w:ascii="Cambria Math" w:hAnsi="Cambria Math"/>
                  </w:rPr>
                  <m:t>ij</m:t>
                </m:r>
              </m:sub>
            </m:sSub>
            <m:r>
              <w:rPr>
                <w:rFonts w:ascii="Cambria Math" w:hAnsi="Cambria Math"/>
              </w:rPr>
              <m:t>)</m:t>
            </m:r>
          </m:num>
          <m:den>
            <m:r>
              <w:rPr>
                <w:rFonts w:ascii="Cambria Math" w:hAnsi="Cambria Math"/>
              </w:rPr>
              <m:t>max</m:t>
            </m:r>
            <m:r>
              <w:rPr>
                <w:rFonts w:ascii="Cambria Math" w:hAnsi="Cambria Math"/>
              </w:rPr>
              <m:t>(</m:t>
            </m:r>
            <m:sSub>
              <m:e>
                <m:r>
                  <w:rPr>
                    <w:rFonts w:ascii="Cambria Math" w:hAnsi="Cambria Math"/>
                  </w:rPr>
                  <m:t>R</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sSub>
              <m:e>
                <m:r>
                  <w:rPr>
                    <w:rFonts w:ascii="Cambria Math" w:hAnsi="Cambria Math"/>
                  </w:rPr>
                  <m:t>B</m:t>
                </m:r>
              </m:e>
              <m:sub>
                <m:r>
                  <w:rPr>
                    <w:rFonts w:ascii="Cambria Math" w:hAnsi="Cambria Math"/>
                  </w:rPr>
                  <m:t>ij</m:t>
                </m:r>
              </m:sub>
            </m:sSub>
            <m:r>
              <w:rPr>
                <w:rFonts w:ascii="Cambria Math" w:hAnsi="Cambria Math"/>
              </w:rPr>
              <m:t>)</m:t>
            </m:r>
          </m:den>
        </m:f>
      </m:oMath>
      <w:r>
        <w:tab/>
        <w:tab/>
        <w:tab/>
        <w:t>(2)</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V</m:t>
            </m:r>
          </m:e>
          <m:sub>
            <m:r>
              <w:rPr>
                <w:rFonts w:ascii="Cambria Math" w:hAnsi="Cambria Math"/>
              </w:rPr>
              <m:t>ij</m:t>
            </m:r>
          </m:sub>
        </m:sSub>
        <m:r>
          <w:rPr>
            <w:rFonts w:ascii="Cambria Math" w:hAnsi="Cambria Math"/>
          </w:rPr>
          <m:t>=</m:t>
        </m:r>
        <m:f>
          <m:fPr>
            <m:type m:val="bar"/>
          </m:fPr>
          <m:num>
            <m:r>
              <w:rPr>
                <w:rFonts w:ascii="Cambria Math" w:hAnsi="Cambria Math"/>
              </w:rPr>
              <m:t>1</m:t>
            </m:r>
          </m:num>
          <m:den>
            <m:r>
              <w:rPr>
                <w:rFonts w:ascii="Cambria Math" w:hAnsi="Cambria Math"/>
              </w:rPr>
              <m:t>255</m:t>
            </m:r>
          </m:den>
        </m:f>
        <m:r>
          <w:rPr>
            <w:rFonts w:ascii="Cambria Math" w:hAnsi="Cambria Math"/>
          </w:rPr>
          <m:t>×max</m:t>
        </m:r>
        <m:r>
          <w:rPr>
            <w:rFonts w:ascii="Cambria Math" w:hAnsi="Cambria Math"/>
          </w:rPr>
          <m:t>(</m:t>
        </m:r>
        <m:sSub>
          <m:e>
            <m:r>
              <w:rPr>
                <w:rFonts w:ascii="Cambria Math" w:hAnsi="Cambria Math"/>
              </w:rPr>
              <m:t>R</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sSub>
          <m:e>
            <m:r>
              <w:rPr>
                <w:rFonts w:ascii="Cambria Math" w:hAnsi="Cambria Math"/>
              </w:rPr>
              <m:t>B</m:t>
            </m:r>
          </m:e>
          <m:sub>
            <m:r>
              <w:rPr>
                <w:rFonts w:ascii="Cambria Math" w:hAnsi="Cambria Math"/>
              </w:rPr>
              <m:t>ij</m:t>
            </m:r>
          </m:sub>
        </m:sSub>
        <m:r>
          <w:rPr>
            <w:rFonts w:ascii="Cambria Math" w:hAnsi="Cambria Math"/>
          </w:rPr>
          <m:t>)</m:t>
        </m:r>
      </m:oMath>
      <w:r>
        <w:tab/>
        <w:tab/>
        <w:tab/>
        <w:t>(3)</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Next, the facial color features were extracted from the images. To realize this purpose, a mask was created to extract the skin region in the HSV color space, which was calculated as follows:</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m:rPr>
                <m:sty m:val="p"/>
              </m:rPr>
              <w:rPr>
                <w:rFonts w:ascii="Cambria Math" w:hAnsi="Cambria Math"/>
              </w:rPr>
              <m:t>Mask</m:t>
            </m:r>
          </m:e>
          <m:sub>
            <m:r>
              <w:rPr>
                <w:rFonts w:ascii="Cambria Math" w:hAnsi="Cambria Math"/>
              </w:rPr>
              <m:t>ij</m:t>
            </m:r>
          </m:sub>
        </m:sSub>
        <m:r>
          <w:rPr>
            <w:rFonts w:ascii="Cambria Math" w:hAnsi="Cambria Math"/>
          </w:rPr>
          <m:t>=</m:t>
        </m:r>
        <m:r>
          <w:rPr>
            <w:rFonts w:ascii="Cambria Math" w:hAnsi="Cambria Math"/>
          </w:rPr>
          <m:t>{</m:t>
        </m:r>
        <m:m>
          <m:mPr>
            <m:baseJc m:val="center"/>
            <m:plcHide m:val="on"/>
            <m:mcs>
              <m:mc>
                <m:mcPr>
                  <m:count m:val="2"/>
                  <m:mcJc m:val="center"/>
                </m:mcPr>
              </m:mc>
            </m:mcs>
          </m:mPr>
          <m:mr>
            <m:e>
              <m:r>
                <w:rPr>
                  <w:rFonts w:ascii="Cambria Math" w:hAnsi="Cambria Math"/>
                </w:rPr>
                <m:t>255</m:t>
              </m:r>
            </m:e>
            <m:e>
              <m:r>
                <m:rPr>
                  <m:sty m:val="p"/>
                </m:rPr>
                <w:rPr>
                  <w:rFonts w:ascii="Cambria Math" w:hAnsi="Cambria Math"/>
                </w:rPr>
                <m:t>If</m:t>
              </m:r>
              <m:sSub>
                <m:e>
                  <m:r>
                    <w:rPr>
                      <w:rFonts w:ascii="Cambria Math" w:hAnsi="Cambria Math"/>
                    </w:rPr>
                    <m:t>l</m:t>
                  </m:r>
                </m:e>
                <m:sub>
                  <m:r>
                    <w:rPr>
                      <w:rFonts w:ascii="Cambria Math" w:hAnsi="Cambria Math"/>
                    </w:rPr>
                    <m:t>H</m:t>
                  </m:r>
                </m:sub>
              </m:sSub>
              <m:r>
                <w:rPr>
                  <w:rFonts w:ascii="Cambria Math" w:hAnsi="Cambria Math"/>
                </w:rPr>
                <m:t>≤</m:t>
              </m:r>
              <m:sSub>
                <m:e>
                  <m:r>
                    <w:rPr>
                      <w:rFonts w:ascii="Cambria Math" w:hAnsi="Cambria Math"/>
                    </w:rPr>
                    <m:t>H</m:t>
                  </m:r>
                </m:e>
                <m:sub>
                  <m:r>
                    <w:rPr>
                      <w:rFonts w:ascii="Cambria Math" w:hAnsi="Cambria Math"/>
                    </w:rPr>
                    <m:t>ij</m:t>
                  </m:r>
                </m:sub>
              </m:sSub>
              <m:r>
                <w:rPr>
                  <w:rFonts w:ascii="Cambria Math" w:hAnsi="Cambria Math"/>
                </w:rPr>
                <m:t>≤</m:t>
              </m:r>
              <m:sSub>
                <m:e>
                  <m:r>
                    <w:rPr>
                      <w:rFonts w:ascii="Cambria Math" w:hAnsi="Cambria Math"/>
                    </w:rPr>
                    <m:t>u</m:t>
                  </m:r>
                </m:e>
                <m:sub>
                  <m:r>
                    <w:rPr>
                      <w:rFonts w:ascii="Cambria Math" w:hAnsi="Cambria Math"/>
                    </w:rPr>
                    <m:t>H</m:t>
                  </m:r>
                </m:sub>
              </m:sSub>
              <m:r>
                <m:rPr>
                  <m:sty m:val="p"/>
                </m:rPr>
                <w:rPr>
                  <w:rFonts w:ascii="Cambria Math" w:hAnsi="Cambria Math"/>
                </w:rPr>
                <m:t>&amp;</m:t>
              </m:r>
              <m:sSub>
                <m:e>
                  <m:r>
                    <w:rPr>
                      <w:rFonts w:ascii="Cambria Math" w:hAnsi="Cambria Math"/>
                    </w:rPr>
                    <m:t>l</m:t>
                  </m:r>
                </m:e>
                <m:sub>
                  <m:r>
                    <w:rPr>
                      <w:rFonts w:ascii="Cambria Math" w:hAnsi="Cambria Math"/>
                    </w:rPr>
                    <m:t>S</m:t>
                  </m:r>
                </m:sub>
              </m:sSub>
              <m:r>
                <w:rPr>
                  <w:rFonts w:ascii="Cambria Math" w:hAnsi="Cambria Math"/>
                </w:rPr>
                <m:t>≤</m:t>
              </m:r>
              <m:sSub>
                <m:e>
                  <m:r>
                    <w:rPr>
                      <w:rFonts w:ascii="Cambria Math" w:hAnsi="Cambria Math"/>
                    </w:rPr>
                    <m:t>S</m:t>
                  </m:r>
                </m:e>
                <m:sub>
                  <m:r>
                    <w:rPr>
                      <w:rFonts w:ascii="Cambria Math" w:hAnsi="Cambria Math"/>
                    </w:rPr>
                    <m:t>ij</m:t>
                  </m:r>
                </m:sub>
              </m:sSub>
              <m:r>
                <w:rPr>
                  <w:rFonts w:ascii="Cambria Math" w:hAnsi="Cambria Math"/>
                </w:rPr>
                <m:t>≤</m:t>
              </m:r>
              <m:sSub>
                <m:e>
                  <m:r>
                    <w:rPr>
                      <w:rFonts w:ascii="Cambria Math" w:hAnsi="Cambria Math"/>
                    </w:rPr>
                    <m:t>u</m:t>
                  </m:r>
                </m:e>
                <m:sub>
                  <m:r>
                    <w:rPr>
                      <w:rFonts w:ascii="Cambria Math" w:hAnsi="Cambria Math"/>
                    </w:rPr>
                    <m:t>S</m:t>
                  </m:r>
                </m:sub>
              </m:sSub>
              <m:r>
                <m:rPr>
                  <m:sty m:val="p"/>
                </m:rPr>
                <w:rPr>
                  <w:rFonts w:ascii="Cambria Math" w:hAnsi="Cambria Math"/>
                </w:rPr>
                <m:t>&amp;</m:t>
              </m:r>
              <m:sSub>
                <m:e>
                  <m:r>
                    <w:rPr>
                      <w:rFonts w:ascii="Cambria Math" w:hAnsi="Cambria Math"/>
                    </w:rPr>
                    <m:t>l</m:t>
                  </m:r>
                </m:e>
                <m:sub>
                  <m:r>
                    <w:rPr>
                      <w:rFonts w:ascii="Cambria Math" w:hAnsi="Cambria Math"/>
                    </w:rPr>
                    <m:t>V</m:t>
                  </m:r>
                </m:sub>
              </m:sSub>
              <m:r>
                <w:rPr>
                  <w:rFonts w:ascii="Cambria Math" w:hAnsi="Cambria Math"/>
                </w:rPr>
                <m:t>≤</m:t>
              </m:r>
              <m:sSub>
                <m:e>
                  <m:r>
                    <w:rPr>
                      <w:rFonts w:ascii="Cambria Math" w:hAnsi="Cambria Math"/>
                    </w:rPr>
                    <m:t>V</m:t>
                  </m:r>
                </m:e>
                <m:sub>
                  <m:r>
                    <w:rPr>
                      <w:rFonts w:ascii="Cambria Math" w:hAnsi="Cambria Math"/>
                    </w:rPr>
                    <m:t>ij</m:t>
                  </m:r>
                </m:sub>
              </m:sSub>
              <m:r>
                <w:rPr>
                  <w:rFonts w:ascii="Cambria Math" w:hAnsi="Cambria Math"/>
                </w:rPr>
                <m:t>≤</m:t>
              </m:r>
              <m:sSub>
                <m:e>
                  <m:r>
                    <w:rPr>
                      <w:rFonts w:ascii="Cambria Math" w:hAnsi="Cambria Math"/>
                    </w:rPr>
                    <m:t>u</m:t>
                  </m:r>
                </m:e>
                <m:sub>
                  <m:r>
                    <w:rPr>
                      <w:rFonts w:ascii="Cambria Math" w:hAnsi="Cambria Math"/>
                    </w:rPr>
                    <m:t>V</m:t>
                  </m:r>
                </m:sub>
              </m:sSub>
            </m:e>
          </m:mr>
          <m:mr>
            <m:e>
              <m:r>
                <w:rPr>
                  <w:rFonts w:ascii="Cambria Math" w:hAnsi="Cambria Math"/>
                </w:rPr>
                <m:t>0</m:t>
              </m:r>
            </m:e>
            <m:e>
              <m:r>
                <m:rPr>
                  <m:sty m:val="p"/>
                </m:rPr>
                <w:rPr>
                  <w:rFonts w:ascii="Cambria Math" w:hAnsi="Cambria Math"/>
                </w:rPr>
                <m:t>Otherwise</m:t>
              </m:r>
            </m:e>
          </m:mr>
        </m:m>
        <m:r>
          <w:rPr>
            <w:rFonts w:ascii="Cambria Math" w:hAnsi="Cambria Math"/>
          </w:rPr>
          <m:t/>
        </m:r>
      </m:oMath>
      <w:r>
        <w:tab/>
        <w:tab/>
        <w:tab/>
        <w:t>(4)</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w:t>
      </w:r>
      <m:oMath xmlns:mml="http://www.w3.org/1998/Math/MathML">
        <m:sSub>
          <m:e>
            <m:r>
              <w:rPr>
                <w:rFonts w:ascii="Cambria Math" w:hAnsi="Cambria Math"/>
              </w:rPr>
              <m:t>l</m:t>
            </m:r>
          </m:e>
          <m:sub>
            <m:r>
              <w:rPr>
                <w:rFonts w:ascii="Cambria Math" w:hAnsi="Cambria Math"/>
              </w:rPr>
              <m:t>H</m:t>
            </m:r>
          </m:sub>
        </m:sSub>
      </m:oMath>
      <w:r>
        <w:rPr>
          <w:rFonts w:ascii="Times New Roman" w:hAnsi="宋体" w:hint="eastAsia"/>
          <w:sz w:val="24"/>
          <w:szCs w:val="24"/>
        </w:rPr>
        <w:t xml:space="preserve">, </w:t>
      </w:r>
      <m:oMath xmlns:mml="http://www.w3.org/1998/Math/MathML">
        <m:sSub>
          <m:e>
            <m:r>
              <w:rPr>
                <w:rFonts w:ascii="Cambria Math" w:hAnsi="Cambria Math"/>
              </w:rPr>
              <m:t>l</m:t>
            </m:r>
          </m:e>
          <m:sub>
            <m:r>
              <w:rPr>
                <w:rFonts w:ascii="Cambria Math" w:hAnsi="Cambria Math"/>
              </w:rPr>
              <m:t>S</m:t>
            </m:r>
          </m:sub>
        </m:sSub>
      </m:oMath>
      <w:r>
        <w:rPr>
          <w:rFonts w:ascii="Times New Roman" w:hAnsi="宋体" w:hint="eastAsia"/>
          <w:sz w:val="24"/>
          <w:szCs w:val="24"/>
        </w:rPr>
        <w:t xml:space="preserve">, and </w:t>
      </w:r>
      <m:oMath xmlns:mml="http://www.w3.org/1998/Math/MathML">
        <m:sSub>
          <m:e>
            <m:r>
              <w:rPr>
                <w:rFonts w:ascii="Cambria Math" w:hAnsi="Cambria Math"/>
              </w:rPr>
              <m:t>l</m:t>
            </m:r>
          </m:e>
          <m:sub>
            <m:r>
              <w:rPr>
                <w:rFonts w:ascii="Cambria Math" w:hAnsi="Cambria Math"/>
              </w:rPr>
              <m:t>V</m:t>
            </m:r>
          </m:sub>
        </m:sSub>
      </m:oMath>
      <w:r>
        <w:rPr>
          <w:rFonts w:ascii="Times New Roman" w:hAnsi="宋体" w:hint="eastAsia"/>
          <w:sz w:val="24"/>
          <w:szCs w:val="24"/>
        </w:rPr>
        <w:t xml:space="preserve"> are the lower limits of the skin color range in the </w:t>
      </w:r>
      <w:r>
        <w:rPr>
          <w:rFonts w:ascii="Times New Roman" w:hAnsi="宋体" w:hint="eastAsia"/>
          <w:i w:val="true"/>
          <w:sz w:val="24"/>
          <w:szCs w:val="24"/>
        </w:rPr>
        <w:t>H</w:t>
      </w:r>
      <w:r>
        <w:rPr>
          <w:rFonts w:ascii="Times New Roman" w:hAnsi="宋体" w:hint="eastAsia"/>
          <w:sz w:val="24"/>
          <w:szCs w:val="24"/>
        </w:rPr>
        <w:t xml:space="preserve">, </w:t>
      </w:r>
      <w:r>
        <w:rPr>
          <w:rFonts w:ascii="Times New Roman" w:hAnsi="宋体" w:hint="eastAsia"/>
          <w:i w:val="true"/>
          <w:sz w:val="24"/>
          <w:szCs w:val="24"/>
        </w:rPr>
        <w:t>S</w:t>
      </w:r>
      <w:r>
        <w:rPr>
          <w:rFonts w:ascii="Times New Roman" w:hAnsi="宋体" w:hint="eastAsia"/>
          <w:sz w:val="24"/>
          <w:szCs w:val="24"/>
        </w:rPr>
        <w:t xml:space="preserve">, and </w:t>
      </w:r>
      <w:r>
        <w:rPr>
          <w:rFonts w:ascii="Times New Roman" w:hAnsi="宋体" w:hint="eastAsia"/>
          <w:i w:val="true"/>
          <w:sz w:val="24"/>
          <w:szCs w:val="24"/>
        </w:rPr>
        <w:t>V</w:t>
      </w:r>
      <w:r>
        <w:rPr>
          <w:rFonts w:ascii="Times New Roman" w:hAnsi="宋体" w:hint="eastAsia"/>
          <w:sz w:val="24"/>
          <w:szCs w:val="24"/>
        </w:rPr>
        <w:t xml:space="preserve"> channels, and </w:t>
      </w:r>
      <m:oMath xmlns:mml="http://www.w3.org/1998/Math/MathML">
        <m:sSub>
          <m:e>
            <m:r>
              <w:rPr>
                <w:rFonts w:ascii="Cambria Math" w:hAnsi="Cambria Math"/>
              </w:rPr>
              <m:t>u</m:t>
            </m:r>
          </m:e>
          <m:sub>
            <m:r>
              <w:rPr>
                <w:rFonts w:ascii="Cambria Math" w:hAnsi="Cambria Math"/>
              </w:rPr>
              <m:t>H</m:t>
            </m:r>
          </m:sub>
        </m:sSub>
      </m:oMath>
      <w:r>
        <w:rPr>
          <w:rFonts w:ascii="Times New Roman" w:hAnsi="宋体" w:hint="eastAsia"/>
          <w:sz w:val="24"/>
          <w:szCs w:val="24"/>
        </w:rPr>
        <w:t xml:space="preserve">, </w:t>
      </w:r>
      <m:oMath xmlns:mml="http://www.w3.org/1998/Math/MathML">
        <m:sSub>
          <m:e>
            <m:r>
              <w:rPr>
                <w:rFonts w:ascii="Cambria Math" w:hAnsi="Cambria Math"/>
              </w:rPr>
              <m:t>u</m:t>
            </m:r>
          </m:e>
          <m:sub>
            <m:r>
              <w:rPr>
                <w:rFonts w:ascii="Cambria Math" w:hAnsi="Cambria Math"/>
              </w:rPr>
              <m:t>S</m:t>
            </m:r>
          </m:sub>
        </m:sSub>
      </m:oMath>
      <w:r>
        <w:rPr>
          <w:rFonts w:ascii="Times New Roman" w:hAnsi="宋体" w:hint="eastAsia"/>
          <w:sz w:val="24"/>
          <w:szCs w:val="24"/>
        </w:rPr>
        <w:t xml:space="preserve">, and </w:t>
      </w:r>
      <m:oMath xmlns:mml="http://www.w3.org/1998/Math/MathML">
        <m:sSub>
          <m:e>
            <m:r>
              <w:rPr>
                <w:rFonts w:ascii="Cambria Math" w:hAnsi="Cambria Math"/>
              </w:rPr>
              <m:t>u</m:t>
            </m:r>
          </m:e>
          <m:sub>
            <m:r>
              <w:rPr>
                <w:rFonts w:ascii="Cambria Math" w:hAnsi="Cambria Math"/>
              </w:rPr>
              <m:t>V</m:t>
            </m:r>
          </m:sub>
        </m:sSub>
      </m:oMath>
      <w:r>
        <w:rPr>
          <w:rFonts w:ascii="Times New Roman" w:hAnsi="宋体" w:hint="eastAsia"/>
          <w:sz w:val="24"/>
          <w:szCs w:val="24"/>
        </w:rPr>
        <w:t xml:space="preserve"> denote the corresponding upper limits of skin color range. Additionally, </w:t>
      </w:r>
      <m:oMath xmlns:mml="http://www.w3.org/1998/Math/MathML">
        <m:sSub>
          <m:e>
            <m:r>
              <m:rPr>
                <m:sty m:val="p"/>
              </m:rPr>
              <w:rPr>
                <w:rFonts w:ascii="Cambria Math" w:hAnsi="Cambria Math"/>
              </w:rPr>
              <m:t>Mask</m:t>
            </m:r>
          </m:e>
          <m:sub>
            <m:r>
              <w:rPr>
                <w:rFonts w:ascii="Cambria Math" w:hAnsi="Cambria Math"/>
              </w:rPr>
              <m:t>ij</m:t>
            </m:r>
          </m:sub>
        </m:sSub>
      </m:oMath>
      <w:r>
        <w:rPr>
          <w:rFonts w:ascii="Times New Roman" w:hAnsi="宋体" w:hint="eastAsia"/>
          <w:sz w:val="24"/>
          <w:szCs w:val="24"/>
        </w:rPr>
        <w:t xml:space="preserve"> signifies the mask value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in the image.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Then, a bitwise AND operation was performed between the input RGB image and the mask to isolate the skin color region of the face image, and the calculation, formula is shown in Equation (5). Here, </w:t>
      </w:r>
      <m:oMath xmlns:mml="http://www.w3.org/1998/Math/MathML">
        <m:r>
          <m:rPr>
            <m:nor/>
          </m:rPr>
          <w:rPr>
            <w:rFonts w:ascii="Cambria Math" w:hAnsi="Cambria Math"/>
          </w:rPr>
          <m:t>new</m:t>
        </m:r>
        <m:sSub>
          <m:e>
            <m:r>
              <w:rPr>
                <w:rFonts w:ascii="Cambria Math" w:hAnsi="Cambria Math"/>
              </w:rPr>
              <m:t>R</m:t>
            </m:r>
          </m:e>
          <m:sub>
            <m:r>
              <w:rPr>
                <w:rFonts w:ascii="Cambria Math" w:hAnsi="Cambria Math"/>
              </w:rPr>
              <m:t>ij</m:t>
            </m:r>
          </m:sub>
        </m:sSub>
      </m:oMath>
      <w:r>
        <w:rPr>
          <w:rFonts w:ascii="Times New Roman" w:hAnsi="宋体" w:hint="eastAsia"/>
          <w:sz w:val="24"/>
          <w:szCs w:val="24"/>
        </w:rPr>
        <w:t xml:space="preserve">, </w:t>
      </w:r>
      <m:oMath xmlns:mml="http://www.w3.org/1998/Math/MathML">
        <m:r>
          <m:rPr>
            <m:nor/>
          </m:rPr>
          <w:rPr>
            <w:rFonts w:ascii="Cambria Math" w:hAnsi="Cambria Math"/>
          </w:rPr>
          <m:t>new</m:t>
        </m:r>
        <m:sSub>
          <m:e>
            <m:r>
              <w:rPr>
                <w:rFonts w:ascii="Cambria Math" w:hAnsi="Cambria Math"/>
              </w:rPr>
              <m:t>G</m:t>
            </m:r>
          </m:e>
          <m:sub>
            <m:r>
              <w:rPr>
                <w:rFonts w:ascii="Cambria Math" w:hAnsi="Cambria Math"/>
              </w:rPr>
              <m:t>ij</m:t>
            </m:r>
          </m:sub>
        </m:sSub>
      </m:oMath>
      <w:r>
        <w:rPr>
          <w:rFonts w:ascii="Times New Roman" w:hAnsi="宋体" w:hint="eastAsia"/>
          <w:sz w:val="24"/>
          <w:szCs w:val="24"/>
        </w:rPr>
        <w:t xml:space="preserve">, and </w:t>
      </w:r>
      <m:oMath xmlns:mml="http://www.w3.org/1998/Math/MathML">
        <m:r>
          <m:rPr>
            <m:nor/>
          </m:rPr>
          <w:rPr>
            <w:rFonts w:ascii="Cambria Math" w:hAnsi="Cambria Math"/>
          </w:rPr>
          <m:t>new</m:t>
        </m:r>
        <m:sSub>
          <m:e>
            <m:r>
              <w:rPr>
                <w:rFonts w:ascii="Cambria Math" w:hAnsi="Cambria Math"/>
              </w:rPr>
              <m:t>B</m:t>
            </m:r>
          </m:e>
          <m:sub>
            <m:r>
              <w:rPr>
                <w:rFonts w:ascii="Cambria Math" w:hAnsi="Cambria Math"/>
              </w:rPr>
              <m:t>ij</m:t>
            </m:r>
          </m:sub>
        </m:sSub>
      </m:oMath>
      <w:r>
        <w:rPr>
          <w:rFonts w:ascii="Times New Roman" w:hAnsi="宋体" w:hint="eastAsia"/>
          <w:sz w:val="24"/>
          <w:szCs w:val="24"/>
        </w:rPr>
        <w:t xml:space="preserve"> represent the pixel values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of the R, G, and B channels in the new image, respectively.</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eqArr>
          <m:e>
            <m:sSub>
              <m:e>
                <m:r>
                  <m:rPr>
                    <m:nor/>
                  </m:rPr>
                  <w:rPr>
                    <w:rFonts w:ascii="Cambria Math" w:hAnsi="Cambria Math"/>
                  </w:rPr>
                  <m:t>new</m:t>
                </m:r>
                <m:sSub>
                  <m:e>
                    <m:r>
                      <w:rPr>
                        <w:rFonts w:ascii="Cambria Math" w:hAnsi="Cambria Math"/>
                      </w:rPr>
                      <m:t>R</m:t>
                    </m:r>
                  </m:e>
                  <m:sub>
                    <m:r>
                      <w:rPr>
                        <w:rFonts w:ascii="Cambria Math" w:hAnsi="Cambria Math"/>
                      </w:rPr>
                      <m:t>ij</m:t>
                    </m:r>
                  </m:sub>
                </m:sSub>
                <m:r>
                  <w:rPr>
                    <w:rFonts w:ascii="Cambria Math" w:hAnsi="Cambria Math"/>
                  </w:rPr>
                  <m:t>=R</m:t>
                </m:r>
              </m:e>
              <m:sub>
                <m:r>
                  <w:rPr>
                    <w:rFonts w:ascii="Cambria Math" w:hAnsi="Cambria Math"/>
                  </w:rPr>
                  <m:t>ij</m:t>
                </m:r>
              </m:sub>
            </m:sSub>
            <m:r>
              <w:rPr>
                <w:rFonts w:ascii="Cambria Math" w:hAnsi="Cambria Math"/>
              </w:rPr>
              <m:t>∧</m:t>
            </m:r>
            <m:sSub>
              <m:e>
                <m:r>
                  <m:rPr>
                    <m:nor/>
                  </m:rPr>
                  <w:rPr>
                    <w:rFonts w:ascii="Cambria Math" w:hAnsi="Cambria Math"/>
                  </w:rPr>
                  <m:t>mask</m:t>
                </m:r>
              </m:e>
              <m:sub>
                <m:r>
                  <w:rPr>
                    <w:rFonts w:ascii="Cambria Math" w:hAnsi="Cambria Math"/>
                  </w:rPr>
                  <m:t>ij</m:t>
                </m:r>
              </m:sub>
            </m:sSub>
          </m:e>
          <m:e>
            <m:r>
              <m:rPr>
                <m:nor/>
              </m:rPr>
              <w:rPr>
                <w:rFonts w:ascii="Cambria Math" w:hAnsi="Cambria Math"/>
              </w:rPr>
              <m:t>new</m:t>
            </m:r>
            <m:sSub>
              <m:e>
                <m:r>
                  <w:rPr>
                    <w:rFonts w:ascii="Cambria Math" w:hAnsi="Cambria Math"/>
                  </w:rPr>
                  <m:t>G</m:t>
                </m:r>
              </m:e>
              <m:sub>
                <m:r>
                  <w:rPr>
                    <w:rFonts w:ascii="Cambria Math" w:hAnsi="Cambria Math"/>
                  </w:rPr>
                  <m:t>ij</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sSub>
              <m:e>
                <m:r>
                  <m:rPr>
                    <m:nor/>
                  </m:rPr>
                  <w:rPr>
                    <w:rFonts w:ascii="Cambria Math" w:hAnsi="Cambria Math"/>
                  </w:rPr>
                  <m:t>mask</m:t>
                </m:r>
              </m:e>
              <m:sub>
                <m:r>
                  <w:rPr>
                    <w:rFonts w:ascii="Cambria Math" w:hAnsi="Cambria Math"/>
                  </w:rPr>
                  <m:t>ij</m:t>
                </m:r>
              </m:sub>
            </m:sSub>
          </m:e>
          <m:e>
            <m:r>
              <m:rPr>
                <m:nor/>
              </m:rPr>
              <w:rPr>
                <w:rFonts w:ascii="Cambria Math" w:hAnsi="Cambria Math"/>
              </w:rPr>
              <m:t>new</m:t>
            </m:r>
            <m:sSub>
              <m:e>
                <m:r>
                  <w:rPr>
                    <w:rFonts w:ascii="Cambria Math" w:hAnsi="Cambria Math"/>
                  </w:rPr>
                  <m:t>B</m:t>
                </m:r>
              </m:e>
              <m:sub>
                <m:r>
                  <w:rPr>
                    <w:rFonts w:ascii="Cambria Math" w:hAnsi="Cambria Math"/>
                  </w:rPr>
                  <m:t>ij</m:t>
                </m:r>
              </m:sub>
            </m:sSub>
            <m:r>
              <w:rPr>
                <w:rFonts w:ascii="Cambria Math" w:hAnsi="Cambria Math"/>
              </w:rPr>
              <m:t>=</m:t>
            </m:r>
            <m:sSub>
              <m:e>
                <m:r>
                  <w:rPr>
                    <w:rFonts w:ascii="Cambria Math" w:hAnsi="Cambria Math"/>
                  </w:rPr>
                  <m:t>B</m:t>
                </m:r>
              </m:e>
              <m:sub>
                <m:r>
                  <w:rPr>
                    <w:rFonts w:ascii="Cambria Math" w:hAnsi="Cambria Math"/>
                  </w:rPr>
                  <m:t>ij</m:t>
                </m:r>
              </m:sub>
            </m:sSub>
            <m:r>
              <w:rPr>
                <w:rFonts w:ascii="Cambria Math" w:hAnsi="Cambria Math"/>
              </w:rPr>
              <m:t>∧</m:t>
            </m:r>
            <m:sSub>
              <m:e>
                <m:r>
                  <m:rPr>
                    <m:nor/>
                  </m:rPr>
                  <w:rPr>
                    <w:rFonts w:ascii="Cambria Math" w:hAnsi="Cambria Math"/>
                  </w:rPr>
                  <m:t>mask</m:t>
                </m:r>
              </m:e>
              <m:sub>
                <m:r>
                  <w:rPr>
                    <w:rFonts w:ascii="Cambria Math" w:hAnsi="Cambria Math"/>
                  </w:rPr>
                  <m:t>ij</m:t>
                </m:r>
              </m:sub>
            </m:sSub>
          </m:e>
        </m:eqArr>
      </m:oMath>
      <w:r>
        <w:tab/>
        <w:tab/>
        <w:tab/>
        <w:t>(5)</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Lastly, the pixel values within the skin color region were flattened into a one-dimensional vector, which was subsequently normalized. From this normalized vector, the 10 maximum pixel values were selected to represent the facial color feature.</w:t>
      </w:r>
    </w:p>
    <w:p>
      <w:pPr>
        <w:spacing w:before="156" w:beforeLines="50" w:line="360" w:lineRule="auto"/>
        <w:jc w:val="left"/>
        <w:rPr>
          <w:rFonts w:ascii="Times New Roman" w:hAnsi="宋体"/>
          <w:sz w:val="24"/>
          <w:szCs w:val="24"/>
        </w:rPr>
      </w:pPr>
      <w:r>
        <w:rPr>
          <w:rFonts w:ascii="Times New Roman" w:hAnsi="宋体" w:hint="eastAsia"/>
          <w:b/>
          <w:sz w:val="26"/>
          <w:szCs w:val="32"/>
        </w:rPr>
        <w:t>3.2  Extraction of the body shape feature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People exhibit diverse body shapes depending on their constitutions, making the full-body body shape an essential basis for recognizing TCM constitutions. Given that LBP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w:t>
      </w:r>
      <w:r>
        <w:rPr>
          <w:rFonts w:ascii="Times New Roman" w:hAnsi="宋体" w:hint="eastAsia"/>
          <w:sz w:val="24"/>
          <w:szCs w:val="24"/>
        </w:rPr>
        <w:t xml:space="preserve"> is adept at capturing intricate details in images, this paper introduced a method for extracting the body shape feature using the LBP algorithm </w:t>
      </w:r>
      <w:r>
        <w:rPr>
          <w:rFonts w:ascii="Times New Roman" w:hAnsi="宋体" w:hint="eastAsia"/>
          <w:sz w:val="24"/>
          <w:szCs w:val="24"/>
          <w:vertAlign w:val="superscript"/>
        </w:rPr>
        <w:t>[</w:t>
      </w:r>
      <w:r>
        <w:rPr>
          <w:rFonts w:ascii="Times New Roman" w:hAnsi="宋体" w:hint="eastAsia"/>
          <w:sz w:val="24"/>
          <w:szCs w:val="24"/>
          <w:vertAlign w:val="superscript"/>
        </w:rPr>
        <w:t>34</w:t>
      </w:r>
      <w:r>
        <w:rPr>
          <w:rFonts w:ascii="Times New Roman" w:hAnsi="宋体" w:hint="eastAsia"/>
          <w:sz w:val="24"/>
          <w:szCs w:val="24"/>
          <w:vertAlign w:val="superscript"/>
        </w:rPr>
        <w:t>]</w:t>
      </w:r>
      <w:r>
        <w:rPr>
          <w:rFonts w:ascii="Times New Roman" w:hAnsi="宋体" w:hint="eastAsia"/>
          <w:sz w:val="24"/>
          <w:szCs w:val="24"/>
        </w:rPr>
        <w:t xml:space="preserve">, as illustrated in </w:t>
      </w:r>
      <w:r>
        <w:rPr>
          <w:rFonts w:ascii="Times New Roman" w:hAnsi="宋体" w:hint="eastAsia"/>
          <w:sz w:val="24"/>
          <w:szCs w:val="24"/>
        </w:rPr>
        <w:t>Figure 5</w:t>
      </w:r>
      <w:r>
        <w:rPr>
          <w:rFonts w:ascii="Times New Roman" w:hAnsi="宋体" w:hint="eastAsia"/>
          <w:sz w:val="24"/>
          <w:szCs w:val="24"/>
        </w:rPr>
        <w:t>.</w:t>
      </w:r>
    </w:p>
    <w:p>
      <w:pPr>
        <w:spacing w:before="200" w:after="100"/>
        <w:jc w:val="center"/>
      </w:pPr>
      <w:r>
        <w:drawing>
          <wp:inline distT="0" distR="0" distB="0" distL="0">
            <wp:extent cx="2736342" cy="1822780"/>
            <wp:docPr id="4" name="Drawing 4" descr="hukongfa-5.jpg"/>
            <a:graphic xmlns:a="http://schemas.openxmlformats.org/drawingml/2006/main">
              <a:graphicData uri="http://schemas.openxmlformats.org/drawingml/2006/picture">
                <pic:pic xmlns:pic="http://schemas.openxmlformats.org/drawingml/2006/picture">
                  <pic:nvPicPr>
                    <pic:cNvPr id="0" name="Picture 4" descr="hukongfa-5.jpg"/>
                    <pic:cNvPicPr>
                      <a:picLocks noChangeAspect="true"/>
                    </pic:cNvPicPr>
                  </pic:nvPicPr>
                  <pic:blipFill>
                    <a:blip r:embed="rId13"/>
                    <a:stretch>
                      <a:fillRect/>
                    </a:stretch>
                  </pic:blipFill>
                  <pic:spPr>
                    <a:xfrm>
                      <a:off x="0" y="0"/>
                      <a:ext cx="2736342" cy="1822780"/>
                    </a:xfrm>
                    <a:prstGeom prst="rect">
                      <a:avLst/>
                    </a:prstGeom>
                  </pic:spPr>
                </pic:pic>
              </a:graphicData>
            </a:graphic>
          </wp:inline>
        </w:drawing>
      </w:r>
    </w:p>
    <w:p>
      <w:pPr>
        <w:spacing w:after="200"/>
        <w:jc w:val="center"/>
      </w:pPr>
      <w:r>
        <w:rPr>
          <w:b w:val="true"/>
        </w:rPr>
        <w:t xml:space="preserve">Fig. 5  </w:t>
      </w:r>
      <w:r>
        <w:rPr>
          <w:b w:val="true"/>
        </w:rPr>
        <w:t>Body shape feature extraction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Firstly, the grayscale map of the RGB image was computed by Equation (6), where </w:t>
      </w:r>
      <m:oMath xmlns:mml="http://www.w3.org/1998/Math/MathML">
        <m:sSub>
          <m:e>
            <m:r>
              <w:rPr>
                <w:rFonts w:ascii="Cambria Math" w:hAnsi="Cambria Math"/>
              </w:rPr>
              <m:t>R</m:t>
            </m:r>
          </m:e>
          <m:sub>
            <m:r>
              <w:rPr>
                <w:rFonts w:ascii="Cambria Math" w:hAnsi="Cambria Math"/>
              </w:rPr>
              <m:t>ij</m:t>
            </m:r>
          </m:sub>
        </m:sSub>
      </m:oMath>
      <w:r>
        <w:rPr>
          <w:rFonts w:ascii="Times New Roman" w:hAnsi="宋体" w:hint="eastAsia"/>
          <w:sz w:val="24"/>
          <w:szCs w:val="24"/>
        </w:rPr>
        <w:t xml:space="preserve">, </w:t>
      </w:r>
      <m:oMath xmlns:mml="http://www.w3.org/1998/Math/MathML">
        <m:sSub>
          <m:e>
            <m:r>
              <w:rPr>
                <w:rFonts w:ascii="Cambria Math" w:hAnsi="Cambria Math"/>
              </w:rPr>
              <m:t>G</m:t>
            </m:r>
          </m:e>
          <m:sub>
            <m:r>
              <w:rPr>
                <w:rFonts w:ascii="Cambria Math" w:hAnsi="Cambria Math"/>
              </w:rPr>
              <m:t>ij</m:t>
            </m:r>
          </m:sub>
        </m:sSub>
      </m:oMath>
      <w:r>
        <w:rPr>
          <w:rFonts w:ascii="Times New Roman" w:hAnsi="宋体" w:hint="eastAsia"/>
          <w:sz w:val="24"/>
          <w:szCs w:val="24"/>
        </w:rPr>
        <w:t xml:space="preserve">, and </w:t>
      </w:r>
      <m:oMath xmlns:mml="http://www.w3.org/1998/Math/MathML">
        <m:sSub>
          <m:e>
            <m:r>
              <w:rPr>
                <w:rFonts w:ascii="Cambria Math" w:hAnsi="Cambria Math"/>
              </w:rPr>
              <m:t>B</m:t>
            </m:r>
          </m:e>
          <m:sub>
            <m:r>
              <w:rPr>
                <w:rFonts w:ascii="Cambria Math" w:hAnsi="Cambria Math"/>
              </w:rPr>
              <m:t>ij</m:t>
            </m:r>
          </m:sub>
        </m:sSub>
      </m:oMath>
      <w:r>
        <w:rPr>
          <w:rFonts w:ascii="Times New Roman" w:hAnsi="宋体" w:hint="eastAsia"/>
          <w:sz w:val="24"/>
          <w:szCs w:val="24"/>
        </w:rPr>
        <w:t xml:space="preserve"> represent the pixel values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of RGB channels in the image. The resulting </w:t>
      </w:r>
      <m:oMath xmlns:mml="http://www.w3.org/1998/Math/MathML">
        <m:sSub>
          <m:e>
            <m:r>
              <w:rPr>
                <w:rFonts w:ascii="Cambria Math" w:hAnsi="Cambria Math"/>
              </w:rPr>
              <m:t>g</m:t>
            </m:r>
          </m:e>
          <m:sub>
            <m:r>
              <w:rPr>
                <w:rFonts w:ascii="Cambria Math" w:hAnsi="Cambria Math"/>
              </w:rPr>
              <m:t>ij</m:t>
            </m:r>
          </m:sub>
        </m:sSub>
      </m:oMath>
      <w:r>
        <w:rPr>
          <w:rFonts w:ascii="Times New Roman" w:hAnsi="宋体" w:hint="eastAsia"/>
          <w:sz w:val="24"/>
          <w:szCs w:val="24"/>
        </w:rPr>
        <w:t xml:space="preserve"> is the gray value of the corresponding pixel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of the image.</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g</m:t>
            </m:r>
          </m:e>
          <m:sub>
            <m:r>
              <w:rPr>
                <w:rFonts w:ascii="Cambria Math" w:hAnsi="Cambria Math"/>
              </w:rPr>
              <m:t>ij</m:t>
            </m:r>
          </m:sub>
        </m:sSub>
        <m:r>
          <w:rPr>
            <w:rFonts w:ascii="Cambria Math" w:hAnsi="Cambria Math"/>
          </w:rPr>
          <m:t>=0.3×</m:t>
        </m:r>
        <m:sSub>
          <m:e>
            <m:r>
              <w:rPr>
                <w:rFonts w:ascii="Cambria Math" w:hAnsi="Cambria Math"/>
              </w:rPr>
              <m:t>R</m:t>
            </m:r>
          </m:e>
          <m:sub>
            <m:r>
              <w:rPr>
                <w:rFonts w:ascii="Cambria Math" w:hAnsi="Cambria Math"/>
              </w:rPr>
              <m:t>ij</m:t>
            </m:r>
          </m:sub>
        </m:sSub>
        <m:r>
          <w:rPr>
            <w:rFonts w:ascii="Cambria Math" w:hAnsi="Cambria Math"/>
          </w:rPr>
          <m:t>+0.59×</m:t>
        </m:r>
        <m:sSub>
          <m:e>
            <m:r>
              <w:rPr>
                <w:rFonts w:ascii="Cambria Math" w:hAnsi="Cambria Math"/>
              </w:rPr>
              <m:t>G</m:t>
            </m:r>
          </m:e>
          <m:sub>
            <m:r>
              <w:rPr>
                <w:rFonts w:ascii="Cambria Math" w:hAnsi="Cambria Math"/>
              </w:rPr>
              <m:t>ij</m:t>
            </m:r>
          </m:sub>
        </m:sSub>
        <m:r>
          <w:rPr>
            <w:rFonts w:ascii="Cambria Math" w:hAnsi="Cambria Math"/>
          </w:rPr>
          <m:t>+0.11×</m:t>
        </m:r>
        <m:sSub>
          <m:e>
            <m:r>
              <w:rPr>
                <w:rFonts w:ascii="Cambria Math" w:hAnsi="Cambria Math"/>
              </w:rPr>
              <m:t>B</m:t>
            </m:r>
          </m:e>
          <m:sub>
            <m:r>
              <w:rPr>
                <w:rFonts w:ascii="Cambria Math" w:hAnsi="Cambria Math"/>
              </w:rPr>
              <m:t>ij</m:t>
            </m:r>
          </m:sub>
        </m:sSub>
      </m:oMath>
      <w:r>
        <w:tab/>
        <w:tab/>
        <w:tab/>
        <w:t>(6)</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Subsequently, the full-body standing image was analyzed using the LBP algorithm </w:t>
      </w:r>
      <w:r>
        <w:rPr>
          <w:rFonts w:ascii="Times New Roman" w:hAnsi="宋体" w:hint="eastAsia"/>
          <w:sz w:val="24"/>
          <w:szCs w:val="24"/>
          <w:vertAlign w:val="superscript"/>
        </w:rPr>
        <w:t>[</w:t>
      </w:r>
      <w:r>
        <w:rPr>
          <w:rFonts w:ascii="Times New Roman" w:hAnsi="宋体" w:hint="eastAsia"/>
          <w:sz w:val="24"/>
          <w:szCs w:val="24"/>
          <w:vertAlign w:val="superscript"/>
        </w:rPr>
        <w:t>35</w:t>
      </w:r>
      <w:r>
        <w:rPr>
          <w:rFonts w:ascii="Times New Roman" w:hAnsi="宋体" w:hint="eastAsia"/>
          <w:sz w:val="24"/>
          <w:szCs w:val="24"/>
          <w:vertAlign w:val="superscript"/>
        </w:rPr>
        <w:t>]</w:t>
      </w:r>
      <w:r>
        <w:rPr>
          <w:rFonts w:ascii="Times New Roman" w:hAnsi="宋体" w:hint="eastAsia"/>
          <w:sz w:val="24"/>
          <w:szCs w:val="24"/>
        </w:rPr>
        <w:t>, which is:</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m:rPr>
                <m:sty m:val="p"/>
              </m:rPr>
              <w:rPr>
                <w:rFonts w:ascii="Cambria Math" w:hAnsi="Cambria Math"/>
              </w:rPr>
              <m:t>LBP</m:t>
            </m:r>
          </m:e>
          <m:sub>
            <m:r>
              <w:rPr>
                <w:rFonts w:ascii="Cambria Math" w:hAnsi="Cambria Math"/>
              </w:rPr>
              <m:t>ij</m:t>
            </m:r>
          </m:sub>
        </m:sSub>
        <m:r>
          <w:rPr>
            <w:rFonts w:ascii="Cambria Math" w:hAnsi="Cambria Math"/>
          </w:rPr>
          <m:t>=</m:t>
        </m:r>
        <m:nary>
          <m:naryPr>
            <m:chr m:val="∑"/>
            <m:limLoc m:val="undOvr"/>
            <m:grow m:val="1"/>
            <m:subHide m:val="off"/>
            <m:supHide m:val="off"/>
          </m:naryPr>
          <m:sub>
            <m:r>
              <w:rPr>
                <w:rFonts w:ascii="Cambria Math" w:hAnsi="Cambria Math"/>
              </w:rPr>
              <m:t>k=0</m:t>
            </m:r>
          </m:sub>
          <m:sup>
            <m:r>
              <w:rPr>
                <w:rFonts w:ascii="Cambria Math" w:hAnsi="Cambria Math"/>
              </w:rPr>
              <m:t>P−1</m:t>
            </m:r>
          </m:sup>
          <m:e/>
        </m:nary>
        <m:r>
          <w:rPr>
            <w:rFonts w:ascii="Cambria Math" w:hAnsi="Cambria Math"/>
          </w:rPr>
          <m:t>s</m:t>
        </m:r>
        <m:r>
          <w:rPr>
            <w:rFonts w:ascii="Cambria Math" w:hAnsi="Cambria Math"/>
          </w:rPr>
          <m:t>(</m:t>
        </m:r>
        <m:sSub>
          <m:e>
            <m:r>
              <w:rPr>
                <w:rFonts w:ascii="Cambria Math" w:hAnsi="Cambria Math"/>
              </w:rPr>
              <m:t>g</m:t>
            </m:r>
          </m:e>
          <m:sub>
            <m:r>
              <w:rPr>
                <w:rFonts w:ascii="Cambria Math" w:hAnsi="Cambria Math"/>
              </w:rPr>
              <m:t>k</m:t>
            </m:r>
          </m:sub>
        </m:sSub>
        <m:r>
          <w:rPr>
            <w:rFonts w:ascii="Cambria Math" w:hAnsi="Cambria Math"/>
          </w:rPr>
          <m:t>−</m:t>
        </m:r>
        <m:sSub>
          <m:e>
            <m:r>
              <w:rPr>
                <w:rFonts w:ascii="Cambria Math" w:hAnsi="Cambria Math"/>
              </w:rPr>
              <m:t>g</m:t>
            </m:r>
          </m:e>
          <m:sub>
            <m:r>
              <w:rPr>
                <w:rFonts w:ascii="Cambria Math" w:hAnsi="Cambria Math"/>
              </w:rPr>
              <m:t>ij</m:t>
            </m:r>
          </m:sub>
        </m:sSub>
        <m:r>
          <w:rPr>
            <w:rFonts w:ascii="Cambria Math" w:hAnsi="Cambria Math"/>
          </w:rPr>
          <m:t>)</m:t>
        </m:r>
        <m:r>
          <w:rPr>
            <w:rFonts w:ascii="Cambria Math" w:hAnsi="Cambria Math"/>
          </w:rPr>
          <m:t>×</m:t>
        </m:r>
        <m:sSup>
          <m:e>
            <m:r>
              <w:rPr>
                <w:rFonts w:ascii="Cambria Math" w:hAnsi="Cambria Math"/>
              </w:rPr>
              <m:t>2</m:t>
            </m:r>
          </m:e>
          <m:sup>
            <m:r>
              <w:rPr>
                <w:rFonts w:ascii="Cambria Math" w:hAnsi="Cambria Math"/>
              </w:rPr>
              <m:t>i</m:t>
            </m:r>
          </m:sup>
        </m:sSup>
      </m:oMath>
      <w:r>
        <w:tab/>
        <w:tab/>
        <w:tab/>
        <w:t>(7)</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w:rPr>
            <w:rFonts w:ascii="Cambria Math" w:hAnsi="Cambria Math"/>
          </w:rPr>
          <m:t>s</m:t>
        </m:r>
        <m:r>
          <w:rPr>
            <w:rFonts w:ascii="Cambria Math" w:hAnsi="Cambria Math"/>
          </w:rPr>
          <m:t>(x)</m:t>
        </m:r>
        <m:r>
          <w:rPr>
            <w:rFonts w:ascii="Cambria Math" w:hAnsi="Cambria Math"/>
          </w:rPr>
          <m:t>=</m:t>
        </m:r>
        <m:r>
          <w:rPr>
            <w:rFonts w:ascii="Cambria Math" w:hAnsi="Cambria Math"/>
          </w:rPr>
          <m:t>{</m:t>
        </m:r>
        <m:eqArr>
          <m:e>
            <m:r>
              <w:rPr>
                <w:rFonts w:ascii="Cambria Math" w:hAnsi="Cambria Math"/>
              </w:rPr>
              <m:t>1,x≥0</m:t>
            </m:r>
          </m:e>
          <m:e>
            <m:r>
              <w:rPr>
                <w:rFonts w:ascii="Cambria Math" w:hAnsi="Cambria Math"/>
              </w:rPr>
              <m:t>0,x&lt;0</m:t>
            </m:r>
          </m:e>
        </m:eqArr>
        <m:r>
          <w:rPr>
            <w:rFonts w:ascii="Cambria Math" w:hAnsi="Cambria Math"/>
          </w:rPr>
          <m:t/>
        </m:r>
      </m:oMath>
      <w:r>
        <w:tab/>
        <w:tab/>
        <w:tab/>
        <w:t>(8)</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w:t>
      </w:r>
      <w:r>
        <w:rPr>
          <w:rFonts w:ascii="Times New Roman" w:hAnsi="宋体" w:hint="eastAsia"/>
          <w:i w:val="true"/>
          <w:sz w:val="24"/>
          <w:szCs w:val="24"/>
        </w:rPr>
        <w:t>P</w:t>
      </w:r>
      <w:r>
        <w:rPr>
          <w:rFonts w:ascii="Times New Roman" w:hAnsi="宋体" w:hint="eastAsia"/>
          <w:sz w:val="24"/>
          <w:szCs w:val="24"/>
        </w:rPr>
        <w:t xml:space="preserve"> represents the total number of sampling points placed on a circle centered around the pixel point, with </w:t>
      </w:r>
      <w:r>
        <w:rPr>
          <w:rFonts w:ascii="Times New Roman" w:hAnsi="宋体" w:hint="eastAsia"/>
          <w:i w:val="true"/>
          <w:sz w:val="24"/>
          <w:szCs w:val="24"/>
        </w:rPr>
        <w:t>P</w:t>
      </w:r>
      <w:r>
        <w:rPr>
          <w:rFonts w:ascii="Times New Roman" w:hAnsi="宋体" w:hint="eastAsia"/>
          <w:sz w:val="24"/>
          <w:szCs w:val="24"/>
        </w:rPr>
        <w:t xml:space="preserve"> set to 8. For each sampling point </w:t>
      </w:r>
      <w:r>
        <w:rPr>
          <w:rFonts w:ascii="Times New Roman" w:hAnsi="宋体" w:hint="eastAsia"/>
          <w:i w:val="true"/>
          <w:sz w:val="24"/>
          <w:szCs w:val="24"/>
        </w:rPr>
        <w:t>k</w:t>
      </w:r>
      <w:r>
        <w:rPr>
          <w:rFonts w:ascii="Times New Roman" w:hAnsi="宋体" w:hint="eastAsia"/>
          <w:sz w:val="24"/>
          <w:szCs w:val="24"/>
        </w:rPr>
        <w:t xml:space="preserve"> (where </w:t>
      </w:r>
      <w:r>
        <w:rPr>
          <w:rFonts w:ascii="Times New Roman" w:hAnsi="宋体" w:hint="eastAsia"/>
          <w:i w:val="true"/>
          <w:sz w:val="24"/>
          <w:szCs w:val="24"/>
        </w:rPr>
        <w:t>k</w:t>
      </w:r>
      <w:r>
        <w:rPr>
          <w:rFonts w:ascii="Times New Roman" w:hAnsi="宋体" w:hint="eastAsia"/>
          <w:sz w:val="24"/>
          <w:szCs w:val="24"/>
        </w:rPr>
        <w:t xml:space="preserve"> = 0, 1, ..., </w:t>
      </w:r>
      <w:r>
        <w:rPr>
          <w:rFonts w:ascii="Times New Roman" w:hAnsi="宋体" w:hint="eastAsia"/>
          <w:i w:val="true"/>
          <w:sz w:val="24"/>
          <w:szCs w:val="24"/>
        </w:rPr>
        <w:t>P</w:t>
      </w:r>
      <w:r>
        <w:rPr>
          <w:rFonts w:ascii="Times New Roman" w:hAnsi="宋体" w:hint="eastAsia"/>
          <w:sz w:val="24"/>
          <w:szCs w:val="24"/>
        </w:rPr>
        <w:t xml:space="preserve"> − 1), </w:t>
      </w:r>
      <m:oMath xmlns:mml="http://www.w3.org/1998/Math/MathML">
        <m:sSub>
          <m:e>
            <m:r>
              <w:rPr>
                <w:rFonts w:ascii="Cambria Math" w:hAnsi="Cambria Math"/>
              </w:rPr>
              <m:t>g</m:t>
            </m:r>
          </m:e>
          <m:sub>
            <m:r>
              <w:rPr>
                <w:rFonts w:ascii="Cambria Math" w:hAnsi="Cambria Math"/>
              </w:rPr>
              <m:t>k</m:t>
            </m:r>
          </m:sub>
        </m:sSub>
      </m:oMath>
      <w:r>
        <w:rPr>
          <w:rFonts w:ascii="Times New Roman" w:hAnsi="宋体" w:hint="eastAsia"/>
          <w:sz w:val="24"/>
          <w:szCs w:val="24"/>
        </w:rPr>
        <w:t xml:space="preserve"> denotes the gray value of the </w:t>
      </w:r>
      <w:r>
        <w:rPr>
          <w:rFonts w:ascii="Times New Roman" w:hAnsi="宋体" w:hint="eastAsia"/>
          <w:i w:val="true"/>
          <w:sz w:val="24"/>
          <w:szCs w:val="24"/>
        </w:rPr>
        <w:t>k</w:t>
      </w:r>
      <w:r>
        <w:rPr>
          <w:rFonts w:ascii="Times New Roman" w:hAnsi="宋体" w:hint="eastAsia"/>
          <w:sz w:val="24"/>
          <w:szCs w:val="24"/>
        </w:rPr>
        <w:t xml:space="preserve">th adjacent pixel on the sampling circle. </w:t>
      </w:r>
      <m:oMath xmlns:mml="http://www.w3.org/1998/Math/MathML">
        <m:r>
          <w:rPr>
            <w:rFonts w:ascii="Cambria Math" w:hAnsi="Cambria Math"/>
          </w:rPr>
          <m:t>s</m:t>
        </m:r>
        <m:r>
          <w:rPr>
            <w:rFonts w:ascii="Cambria Math" w:hAnsi="Cambria Math"/>
          </w:rPr>
          <m:t>(x)</m:t>
        </m:r>
      </m:oMath>
      <w:r>
        <w:rPr>
          <w:rFonts w:ascii="Times New Roman" w:hAnsi="宋体" w:hint="eastAsia"/>
          <w:sz w:val="24"/>
          <w:szCs w:val="24"/>
        </w:rPr>
        <w:t xml:space="preserve"> is a threshold to binarize the gray-scale difference between </w:t>
      </w:r>
      <m:oMath xmlns:mml="http://www.w3.org/1998/Math/MathML">
        <m:sSub>
          <m:e>
            <m:r>
              <w:rPr>
                <w:rFonts w:ascii="Cambria Math" w:hAnsi="Cambria Math"/>
              </w:rPr>
              <m:t>g</m:t>
            </m:r>
          </m:e>
          <m:sub>
            <m:r>
              <w:rPr>
                <w:rFonts w:ascii="Cambria Math" w:hAnsi="Cambria Math"/>
              </w:rPr>
              <m:t>ij</m:t>
            </m:r>
          </m:sub>
        </m:sSub>
      </m:oMath>
      <w:r>
        <w:rPr>
          <w:rFonts w:ascii="Times New Roman" w:hAnsi="宋体" w:hint="eastAsia"/>
          <w:sz w:val="24"/>
          <w:szCs w:val="24"/>
        </w:rPr>
        <w:t xml:space="preserve"> (the gray value of the central pixel) and </w:t>
      </w:r>
      <m:oMath xmlns:mml="http://www.w3.org/1998/Math/MathML">
        <m:sSub>
          <m:e>
            <m:r>
              <w:rPr>
                <w:rFonts w:ascii="Cambria Math" w:hAnsi="Cambria Math"/>
              </w:rPr>
              <m:t>g</m:t>
            </m:r>
          </m:e>
          <m:sub>
            <m:r>
              <w:rPr>
                <w:rFonts w:ascii="Cambria Math" w:hAnsi="Cambria Math"/>
              </w:rPr>
              <m:t>k</m:t>
            </m:r>
          </m:sub>
        </m:sSub>
      </m:oMath>
      <w:r>
        <w:rPr>
          <w:rFonts w:ascii="Times New Roman" w:hAnsi="宋体" w:hint="eastAsia"/>
          <w:sz w:val="24"/>
          <w:szCs w:val="24"/>
        </w:rPr>
        <w:t xml:space="preserve">. Lastly, </w:t>
      </w:r>
      <m:oMath xmlns:mml="http://www.w3.org/1998/Math/MathML">
        <m:sSub>
          <m:e>
            <m:r>
              <m:rPr>
                <m:sty m:val="p"/>
              </m:rPr>
              <w:rPr>
                <w:rFonts w:ascii="Cambria Math" w:hAnsi="Cambria Math"/>
              </w:rPr>
              <m:t>LBP</m:t>
            </m:r>
          </m:e>
          <m:sub>
            <m:r>
              <w:rPr>
                <w:rFonts w:ascii="Cambria Math" w:hAnsi="Cambria Math"/>
              </w:rPr>
              <m:t>ij</m:t>
            </m:r>
          </m:sub>
        </m:sSub>
      </m:oMath>
      <w:r>
        <w:rPr>
          <w:rFonts w:ascii="Times New Roman" w:hAnsi="宋体" w:hint="eastAsia"/>
          <w:sz w:val="24"/>
          <w:szCs w:val="24"/>
        </w:rPr>
        <w:t xml:space="preserve"> is the calculated LBP value of the pixel.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Next, the LBP image was normalized using the grayscale map. The improved LBP map was obtained with the use of Equation (9), and </w:t>
      </w:r>
      <m:oMath xmlns:mml="http://www.w3.org/1998/Math/MathML">
        <m:sSub>
          <m:e>
            <m:r>
              <m:rPr>
                <m:sty m:val="p"/>
              </m:rPr>
              <w:rPr>
                <w:rFonts w:ascii="Cambria Math" w:hAnsi="Cambria Math"/>
              </w:rPr>
              <m:t>ILBP</m:t>
            </m:r>
          </m:e>
          <m:sub>
            <m:r>
              <w:rPr>
                <w:rFonts w:ascii="Cambria Math" w:hAnsi="Cambria Math"/>
              </w:rPr>
              <m:t>ij</m:t>
            </m:r>
          </m:sub>
        </m:sSub>
      </m:oMath>
      <w:r>
        <w:rPr>
          <w:rFonts w:ascii="Times New Roman" w:hAnsi="宋体" w:hint="eastAsia"/>
          <w:sz w:val="24"/>
          <w:szCs w:val="24"/>
        </w:rPr>
        <w:t xml:space="preserve"> is the value of the pixel point in row </w:t>
      </w:r>
      <w:r>
        <w:rPr>
          <w:rFonts w:ascii="Times New Roman" w:hAnsi="宋体" w:hint="eastAsia"/>
          <w:i w:val="true"/>
          <w:sz w:val="24"/>
          <w:szCs w:val="24"/>
        </w:rPr>
        <w:t>i</w:t>
      </w:r>
      <w:r>
        <w:rPr>
          <w:rFonts w:ascii="Times New Roman" w:hAnsi="宋体" w:hint="eastAsia"/>
          <w:sz w:val="24"/>
          <w:szCs w:val="24"/>
        </w:rPr>
        <w:t xml:space="preserve"> and column </w:t>
      </w:r>
      <w:r>
        <w:rPr>
          <w:rFonts w:ascii="Times New Roman" w:hAnsi="宋体" w:hint="eastAsia"/>
          <w:i w:val="true"/>
          <w:sz w:val="24"/>
          <w:szCs w:val="24"/>
        </w:rPr>
        <w:t>j</w:t>
      </w:r>
      <w:r>
        <w:rPr>
          <w:rFonts w:ascii="Times New Roman" w:hAnsi="宋体" w:hint="eastAsia"/>
          <w:sz w:val="24"/>
          <w:szCs w:val="24"/>
        </w:rPr>
        <w:t xml:space="preserve"> of the improved LBP map.</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m:rPr>
                <m:sty m:val="p"/>
              </m:rPr>
              <w:rPr>
                <w:rFonts w:ascii="Cambria Math" w:hAnsi="Cambria Math"/>
              </w:rPr>
              <m:t>ILBP</m:t>
            </m:r>
          </m:e>
          <m:sub>
            <m:r>
              <w:rPr>
                <w:rFonts w:ascii="Cambria Math" w:hAnsi="Cambria Math"/>
              </w:rPr>
              <m:t>ij</m:t>
            </m:r>
          </m:sub>
        </m:sSub>
        <m:r>
          <w:rPr>
            <w:rFonts w:ascii="Cambria Math" w:hAnsi="Cambria Math"/>
          </w:rPr>
          <m:t>=</m:t>
        </m:r>
        <m:f>
          <m:fPr>
            <m:type m:val="bar"/>
          </m:fPr>
          <m:num>
            <m:sSub>
              <m:e>
                <m:r>
                  <m:rPr>
                    <m:sty m:val="p"/>
                  </m:rPr>
                  <w:rPr>
                    <w:rFonts w:ascii="Cambria Math" w:hAnsi="Cambria Math"/>
                  </w:rPr>
                  <m:t>LBP</m:t>
                </m:r>
              </m:e>
              <m:sub>
                <m:r>
                  <w:rPr>
                    <w:rFonts w:ascii="Cambria Math" w:hAnsi="Cambria Math"/>
                  </w:rPr>
                  <m:t>ij</m:t>
                </m:r>
              </m:sub>
            </m:sSub>
          </m:num>
          <m:den>
            <m:sSub>
              <m:e>
                <m:r>
                  <w:rPr>
                    <w:rFonts w:ascii="Cambria Math" w:hAnsi="Cambria Math"/>
                  </w:rPr>
                  <m:t>g</m:t>
                </m:r>
              </m:e>
              <m:sub>
                <m:r>
                  <w:rPr>
                    <w:rFonts w:ascii="Cambria Math" w:hAnsi="Cambria Math"/>
                  </w:rPr>
                  <m:t>ij</m:t>
                </m:r>
              </m:sub>
            </m:sSub>
          </m:den>
        </m:f>
      </m:oMath>
      <w:r>
        <w:tab/>
        <w:tab/>
        <w:tab/>
        <w:t>(9)</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Subsequently, the feature map was generated using Equation (10), where </w:t>
      </w:r>
      <m:oMath xmlns:mml="http://www.w3.org/1998/Math/MathML">
        <m:sSub>
          <m:e>
            <m:r>
              <w:rPr>
                <w:rFonts w:ascii="Cambria Math" w:hAnsi="Cambria Math"/>
              </w:rPr>
              <m:t>fm</m:t>
            </m:r>
          </m:e>
          <m:sub>
            <m:r>
              <w:rPr>
                <w:rFonts w:ascii="Cambria Math" w:hAnsi="Cambria Math"/>
              </w:rPr>
              <m:t>ij</m:t>
            </m:r>
          </m:sub>
        </m:sSub>
      </m:oMath>
      <w:r>
        <w:rPr>
          <w:rFonts w:ascii="Times New Roman" w:hAnsi="宋体" w:hint="eastAsia"/>
          <w:sz w:val="24"/>
          <w:szCs w:val="24"/>
        </w:rPr>
        <w:t xml:space="preserve"> denotes the pixel value at the </w:t>
      </w:r>
      <w:r>
        <w:rPr>
          <w:rFonts w:ascii="Times New Roman" w:hAnsi="宋体" w:hint="eastAsia"/>
          <w:i w:val="true"/>
          <w:sz w:val="24"/>
          <w:szCs w:val="24"/>
        </w:rPr>
        <w:t>i</w:t>
      </w:r>
      <w:r>
        <w:rPr>
          <w:rFonts w:ascii="Times New Roman" w:hAnsi="宋体" w:hint="eastAsia"/>
          <w:sz w:val="24"/>
          <w:szCs w:val="24"/>
        </w:rPr>
        <w:t xml:space="preserve"> row and the </w:t>
      </w:r>
      <w:r>
        <w:rPr>
          <w:rFonts w:ascii="Times New Roman" w:hAnsi="宋体" w:hint="eastAsia"/>
          <w:i w:val="true"/>
          <w:sz w:val="24"/>
          <w:szCs w:val="24"/>
        </w:rPr>
        <w:t>j</w:t>
      </w:r>
      <w:r>
        <w:rPr>
          <w:rFonts w:ascii="Times New Roman" w:hAnsi="宋体" w:hint="eastAsia"/>
          <w:sz w:val="24"/>
          <w:szCs w:val="24"/>
        </w:rPr>
        <w:t xml:space="preserve"> column of the feature map. As illustrated in </w:t>
      </w:r>
      <w:r>
        <w:rPr>
          <w:rFonts w:ascii="Times New Roman" w:hAnsi="宋体" w:hint="eastAsia"/>
          <w:sz w:val="24"/>
          <w:szCs w:val="24"/>
        </w:rPr>
        <w:t>Figure 5</w:t>
      </w:r>
      <w:r>
        <w:rPr>
          <w:rFonts w:ascii="Times New Roman" w:hAnsi="宋体" w:hint="eastAsia"/>
          <w:sz w:val="24"/>
          <w:szCs w:val="24"/>
        </w:rPr>
        <w:t>, this feature map effectively captures the body shape feature of the subject.</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fm</m:t>
            </m:r>
          </m:e>
          <m:sub>
            <m:r>
              <w:rPr>
                <w:rFonts w:ascii="Cambria Math" w:hAnsi="Cambria Math"/>
              </w:rPr>
              <m:t>ij</m:t>
            </m:r>
          </m:sub>
        </m:sSub>
        <m:r>
          <w:rPr>
            <w:rFonts w:ascii="Cambria Math" w:hAnsi="Cambria Math"/>
          </w:rPr>
          <m:t>=</m:t>
        </m:r>
        <m:r>
          <w:rPr>
            <w:rFonts w:ascii="Cambria Math" w:hAnsi="Cambria Math"/>
          </w:rPr>
          <m:t>{</m:t>
        </m:r>
        <m:m>
          <m:mPr>
            <m:baseJc m:val="center"/>
            <m:plcHide m:val="on"/>
            <m:mcs>
              <m:mc>
                <m:mcPr>
                  <m:count m:val="2"/>
                  <m:mcJc m:val="center"/>
                </m:mcPr>
              </m:mc>
            </m:mcs>
          </m:mPr>
          <m:mr>
            <m:e>
              <m:sSub>
                <m:e>
                  <m:r>
                    <m:rPr>
                      <m:sty m:val="p"/>
                    </m:rPr>
                    <w:rPr>
                      <w:rFonts w:ascii="Cambria Math" w:hAnsi="Cambria Math"/>
                    </w:rPr>
                    <m:t>ILBP</m:t>
                  </m:r>
                </m:e>
                <m:sub>
                  <m:r>
                    <w:rPr>
                      <w:rFonts w:ascii="Cambria Math" w:hAnsi="Cambria Math"/>
                    </w:rPr>
                    <m:t>ij</m:t>
                  </m:r>
                </m:sub>
              </m:sSub>
            </m:e>
            <m:e>
              <m:r>
                <m:rPr>
                  <m:sty m:val="p"/>
                </m:rPr>
                <w:rPr>
                  <w:rFonts w:ascii="Cambria Math" w:hAnsi="Cambria Math"/>
                </w:rPr>
                <m:t>If</m:t>
              </m:r>
              <m:r>
                <w:rPr>
                  <w:rFonts w:ascii="Cambria Math" w:hAnsi="Cambria Math"/>
                </w:rPr>
                <m:t>0≤</m:t>
              </m:r>
              <m:sSub>
                <m:e>
                  <m:r>
                    <m:rPr>
                      <m:sty m:val="p"/>
                    </m:rPr>
                    <w:rPr>
                      <w:rFonts w:ascii="Cambria Math" w:hAnsi="Cambria Math"/>
                    </w:rPr>
                    <m:t>ILBP</m:t>
                  </m:r>
                </m:e>
                <m:sub>
                  <m:r>
                    <w:rPr>
                      <w:rFonts w:ascii="Cambria Math" w:hAnsi="Cambria Math"/>
                    </w:rPr>
                    <m:t>ij</m:t>
                  </m:r>
                </m:sub>
              </m:sSub>
              <m:r>
                <w:rPr>
                  <w:rFonts w:ascii="Cambria Math" w:hAnsi="Cambria Math"/>
                </w:rPr>
                <m:t>≤9</m:t>
              </m:r>
            </m:e>
          </m:mr>
          <m:mr>
            <m:e>
              <m:r>
                <w:rPr>
                  <w:rFonts w:ascii="Cambria Math" w:hAnsi="Cambria Math"/>
                </w:rPr>
                <m:t>255</m:t>
              </m:r>
            </m:e>
            <m:e>
              <m:r>
                <m:rPr>
                  <m:sty m:val="p"/>
                </m:rPr>
                <w:rPr>
                  <w:rFonts w:ascii="Cambria Math" w:hAnsi="Cambria Math"/>
                </w:rPr>
                <m:t>Otherwise</m:t>
              </m:r>
            </m:e>
          </m:mr>
        </m:m>
        <m:r>
          <w:rPr>
            <w:rFonts w:ascii="Cambria Math" w:hAnsi="Cambria Math"/>
          </w:rPr>
          <m:t/>
        </m:r>
      </m:oMath>
      <w:r>
        <w:tab/>
        <w:tab/>
        <w:tab/>
        <w:t>(10)</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Lastly, the shape feature vector was derived by computing the frequency histogram of the feature map. The Equation (11) for the shape feature vector is as follows:</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w:rPr>
            <w:rFonts w:ascii="Cambria Math" w:hAnsi="Cambria Math"/>
          </w:rPr>
          <m:t>h</m:t>
        </m:r>
        <m:r>
          <w:rPr>
            <w:rFonts w:ascii="Cambria Math" w:hAnsi="Cambria Math"/>
          </w:rPr>
          <m:t>(t)</m:t>
        </m:r>
        <m:r>
          <w:rPr>
            <w:rFonts w:ascii="Cambria Math" w:hAnsi="Cambria Math"/>
          </w:rPr>
          <m:t>=</m:t>
        </m:r>
        <m:f>
          <m:fPr>
            <m:type m:val="bar"/>
          </m:fPr>
          <m:num>
            <m:r>
              <w:rPr>
                <w:rFonts w:ascii="Cambria Math" w:hAnsi="Cambria Math"/>
              </w:rPr>
              <m:t>c</m:t>
            </m:r>
            <m:r>
              <w:rPr>
                <w:rFonts w:ascii="Cambria Math" w:hAnsi="Cambria Math"/>
              </w:rPr>
              <m:t>(t)</m:t>
            </m:r>
          </m:num>
          <m:den>
            <m:nary>
              <m:naryPr>
                <m:chr m:val="∑"/>
                <m:limLoc m:val="subSup"/>
                <m:grow m:val="1"/>
                <m:subHide m:val="off"/>
                <m:supHide m:val="off"/>
              </m:naryPr>
              <m:sub>
                <m:r>
                  <w:rPr>
                    <w:rFonts w:ascii="Cambria Math" w:hAnsi="Cambria Math"/>
                  </w:rPr>
                  <m:t>u=0</m:t>
                </m:r>
              </m:sub>
              <m:sup>
                <m:r>
                  <w:rPr>
                    <w:rFonts w:ascii="Cambria Math" w:hAnsi="Cambria Math"/>
                  </w:rPr>
                  <m:t>t</m:t>
                </m:r>
              </m:sup>
              <m:e/>
            </m:nary>
            <m:r>
              <w:rPr>
                <w:rFonts w:ascii="Cambria Math" w:hAnsi="Cambria Math"/>
              </w:rPr>
              <m:t>c</m:t>
            </m:r>
            <m:r>
              <w:rPr>
                <w:rFonts w:ascii="Cambria Math" w:hAnsi="Cambria Math"/>
              </w:rPr>
              <m:t>(u)</m:t>
            </m:r>
            <m:r>
              <w:rPr>
                <w:rFonts w:ascii="Cambria Math" w:hAnsi="Cambria Math"/>
              </w:rPr>
              <m:t>+ϵ</m:t>
            </m:r>
          </m:den>
        </m:f>
      </m:oMath>
      <w:r>
        <w:tab/>
        <w:tab/>
        <w:tab/>
        <w:t>(11)</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w:t>
      </w:r>
      <w:r>
        <w:rPr>
          <w:rFonts w:ascii="Times New Roman" w:hAnsi="宋体" w:hint="eastAsia"/>
          <w:i w:val="true"/>
          <w:sz w:val="24"/>
          <w:szCs w:val="24"/>
        </w:rPr>
        <w:t>t</w:t>
      </w:r>
      <w:r>
        <w:rPr>
          <w:rFonts w:ascii="Times New Roman" w:hAnsi="宋体" w:hint="eastAsia"/>
          <w:sz w:val="24"/>
          <w:szCs w:val="24"/>
        </w:rPr>
        <w:t xml:space="preserve"> = 0, 1, ..., 9, </w:t>
      </w:r>
      <m:oMath xmlns:mml="http://www.w3.org/1998/Math/MathML">
        <m:r>
          <w:rPr>
            <w:rFonts w:ascii="Cambria Math" w:hAnsi="Cambria Math"/>
          </w:rPr>
          <m:t>h</m:t>
        </m:r>
        <m:r>
          <w:rPr>
            <w:rFonts w:ascii="Cambria Math" w:hAnsi="Cambria Math"/>
          </w:rPr>
          <m:t>(t)</m:t>
        </m:r>
      </m:oMath>
      <w:r>
        <w:rPr>
          <w:rFonts w:ascii="Times New Roman" w:hAnsi="宋体" w:hint="eastAsia"/>
          <w:sz w:val="24"/>
          <w:szCs w:val="24"/>
        </w:rPr>
        <w:t xml:space="preserve"> denotes the pixel value as the frequency of </w:t>
      </w:r>
      <w:r>
        <w:rPr>
          <w:rFonts w:ascii="Times New Roman" w:hAnsi="宋体" w:hint="eastAsia"/>
          <w:i w:val="true"/>
          <w:sz w:val="24"/>
          <w:szCs w:val="24"/>
        </w:rPr>
        <w:t>t</w:t>
      </w:r>
      <w:r>
        <w:rPr>
          <w:rFonts w:ascii="Times New Roman" w:hAnsi="宋体" w:hint="eastAsia"/>
          <w:sz w:val="24"/>
          <w:szCs w:val="24"/>
        </w:rPr>
        <w:t xml:space="preserve"> in the feature map. </w:t>
      </w:r>
      <m:oMath xmlns:mml="http://www.w3.org/1998/Math/MathML">
        <m:r>
          <w:rPr>
            <w:rFonts w:ascii="Cambria Math" w:hAnsi="Cambria Math"/>
          </w:rPr>
          <m:t>c</m:t>
        </m:r>
        <m:r>
          <w:rPr>
            <w:rFonts w:ascii="Cambria Math" w:hAnsi="Cambria Math"/>
          </w:rPr>
          <m:t>(u)</m:t>
        </m:r>
      </m:oMath>
      <w:r>
        <w:rPr>
          <w:rFonts w:ascii="Times New Roman" w:hAnsi="宋体" w:hint="eastAsia"/>
          <w:sz w:val="24"/>
          <w:szCs w:val="24"/>
        </w:rPr>
        <w:t xml:space="preserve"> denotes the pixel value as the number of times </w:t>
      </w:r>
      <w:r>
        <w:rPr>
          <w:rFonts w:ascii="Times New Roman" w:hAnsi="宋体" w:hint="eastAsia"/>
          <w:i w:val="true"/>
          <w:sz w:val="24"/>
          <w:szCs w:val="24"/>
        </w:rPr>
        <w:t>u</w:t>
      </w:r>
      <w:r>
        <w:rPr>
          <w:rFonts w:ascii="Times New Roman" w:hAnsi="宋体" w:hint="eastAsia"/>
          <w:sz w:val="24"/>
          <w:szCs w:val="24"/>
        </w:rPr>
        <w:t xml:space="preserve"> appears in the feature map. The </w:t>
      </w:r>
      <m:oMath xmlns:mml="http://www.w3.org/1998/Math/MathML">
        <m:r>
          <w:rPr>
            <w:rFonts w:ascii="Cambria Math" w:hAnsi="Cambria Math"/>
          </w:rPr>
          <m:t>ϵ</m:t>
        </m:r>
      </m:oMath>
      <w:r>
        <w:rPr>
          <w:rFonts w:ascii="Times New Roman" w:hAnsi="宋体" w:hint="eastAsia"/>
          <w:sz w:val="24"/>
          <w:szCs w:val="24"/>
        </w:rPr>
        <w:t xml:space="preserve"> is 1 × 10</w:t>
      </w:r>
      <w:r>
        <w:rPr>
          <w:rFonts w:ascii="Times New Roman" w:hAnsi="宋体" w:hint="eastAsia"/>
          <w:sz w:val="24"/>
          <w:szCs w:val="24"/>
          <w:vertAlign w:val="superscript"/>
        </w:rPr>
        <w:t>−7</w:t>
      </w:r>
      <w:r>
        <w:rPr>
          <w:rFonts w:ascii="Times New Roman" w:hAnsi="宋体" w:hint="eastAsia"/>
          <w:sz w:val="24"/>
          <w:szCs w:val="24"/>
        </w:rPr>
        <w:t>, which is used to avoid the case where the denominator is zero.</w:t>
      </w:r>
    </w:p>
    <w:p>
      <w:pPr>
        <w:spacing w:before="156" w:beforeLines="50" w:line="360" w:lineRule="auto"/>
        <w:jc w:val="left"/>
        <w:rPr>
          <w:rFonts w:ascii="Times New Roman" w:hAnsi="宋体"/>
          <w:sz w:val="24"/>
          <w:szCs w:val="24"/>
        </w:rPr>
      </w:pPr>
      <w:r>
        <w:rPr>
          <w:rFonts w:ascii="Times New Roman" w:hAnsi="宋体" w:hint="eastAsia"/>
          <w:b/>
          <w:sz w:val="26"/>
          <w:szCs w:val="32"/>
        </w:rPr>
        <w:t>3.3  Extraction of the deep feature with CResNet-ST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paper, the CResNet-ST method was introduced to extract deep features from full-body standing images (</w:t>
      </w:r>
      <w:r>
        <w:rPr>
          <w:rFonts w:ascii="Times New Roman" w:hAnsi="宋体" w:hint="eastAsia"/>
          <w:sz w:val="24"/>
          <w:szCs w:val="24"/>
        </w:rPr>
        <w:t>Figure 6</w:t>
      </w:r>
      <w:r>
        <w:rPr>
          <w:rFonts w:ascii="Times New Roman" w:hAnsi="宋体" w:hint="eastAsia"/>
          <w:sz w:val="24"/>
          <w:szCs w:val="24"/>
        </w:rPr>
        <w:t>). The method consists a dual-branch network architecture, with the upper half containing the Swin-T module, which is adept at capturing global features of the full-body standing image, and the lower half incorporating CResNet module, tailored for extracting local features from these images.</w:t>
      </w:r>
    </w:p>
    <w:p>
      <w:pPr>
        <w:spacing w:before="200" w:after="100"/>
        <w:jc w:val="center"/>
      </w:pPr>
      <w:r>
        <w:drawing>
          <wp:inline distT="0" distR="0" distB="0" distL="0">
            <wp:extent cx="4896612" cy="1830400"/>
            <wp:docPr id="5" name="Drawing 5" descr="hukongfa-6.jpg"/>
            <a:graphic xmlns:a="http://schemas.openxmlformats.org/drawingml/2006/main">
              <a:graphicData uri="http://schemas.openxmlformats.org/drawingml/2006/picture">
                <pic:pic xmlns:pic="http://schemas.openxmlformats.org/drawingml/2006/picture">
                  <pic:nvPicPr>
                    <pic:cNvPr id="0" name="Picture 5" descr="hukongfa-6.jpg"/>
                    <pic:cNvPicPr>
                      <a:picLocks noChangeAspect="true"/>
                    </pic:cNvPicPr>
                  </pic:nvPicPr>
                  <pic:blipFill>
                    <a:blip r:embed="rId14"/>
                    <a:stretch>
                      <a:fillRect/>
                    </a:stretch>
                  </pic:blipFill>
                  <pic:spPr>
                    <a:xfrm>
                      <a:off x="0" y="0"/>
                      <a:ext cx="4896612" cy="1830400"/>
                    </a:xfrm>
                    <a:prstGeom prst="rect">
                      <a:avLst/>
                    </a:prstGeom>
                  </pic:spPr>
                </pic:pic>
              </a:graphicData>
            </a:graphic>
          </wp:inline>
        </w:drawing>
      </w:r>
    </w:p>
    <w:p>
      <w:pPr>
        <w:spacing w:after="200"/>
        <w:jc w:val="center"/>
      </w:pPr>
      <w:r>
        <w:rPr>
          <w:b w:val="true"/>
        </w:rPr>
        <w:t xml:space="preserve">Fig. 6  </w:t>
      </w:r>
      <w:r>
        <w:rPr>
          <w:b w:val="true"/>
        </w:rPr>
        <w:t>Deep feature extraction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attention mechanism assists the network in focusing on important regions within the image, enhancing its capability to extract essential features and thereby improving feature representation. The Swin-T module is a Swin Transformer network architecture that incorporates a self-attention mechanism. It is composed of five stages: Stage 1, 2, 3, 4, and 5. In Stage 1, the full-body standing image was divided into 4 × 4 size image patches using the Patch Partition layer. Stage 2 then transformed the input image patch into a low-dimensional feature space via the Linear Embedding layer to form the image patch </w:t>
      </w:r>
      <m:oMath xmlns:mml="http://www.w3.org/1998/Math/MathML">
        <m:sSup>
          <m:e>
            <m:r>
              <w:rPr>
                <w:rFonts w:ascii="Cambria Math" w:hAnsi="Cambria Math"/>
              </w:rPr>
              <m:t>Z</m:t>
            </m:r>
          </m:e>
          <m:sup>
            <m:r>
              <w:rPr>
                <w:rFonts w:ascii="Cambria Math" w:hAnsi="Cambria Math"/>
              </w:rPr>
              <m:t>l</m:t>
            </m:r>
          </m:sup>
        </m:sSup>
      </m:oMath>
      <w:r>
        <w:rPr>
          <w:rFonts w:ascii="Times New Roman" w:hAnsi="宋体" w:hint="eastAsia"/>
          <w:sz w:val="24"/>
          <w:szCs w:val="24"/>
        </w:rPr>
        <w:t xml:space="preserve">, and then delivered </w:t>
      </w:r>
      <m:oMath xmlns:mml="http://www.w3.org/1998/Math/MathML">
        <m:sSup>
          <m:e>
            <m:r>
              <w:rPr>
                <w:rFonts w:ascii="Cambria Math" w:hAnsi="Cambria Math"/>
              </w:rPr>
              <m:t>Z</m:t>
            </m:r>
          </m:e>
          <m:sup>
            <m:r>
              <w:rPr>
                <w:rFonts w:ascii="Cambria Math" w:hAnsi="Cambria Math"/>
              </w:rPr>
              <m:t>l</m:t>
            </m:r>
          </m:sup>
        </m:sSup>
      </m:oMath>
      <w:r>
        <w:rPr>
          <w:rFonts w:ascii="Times New Roman" w:hAnsi="宋体" w:hint="eastAsia"/>
          <w:sz w:val="24"/>
          <w:szCs w:val="24"/>
        </w:rPr>
        <w:t xml:space="preserve"> into the Swin Transformer Block to process and interact with these features to construct a final feature map </w:t>
      </w:r>
      <m:oMath xmlns:mml="http://www.w3.org/1998/Math/MathML">
        <m:sSup>
          <m:e>
            <m:r>
              <w:rPr>
                <w:rFonts w:ascii="Cambria Math" w:hAnsi="Cambria Math"/>
              </w:rPr>
              <m:t>Z</m:t>
            </m:r>
          </m:e>
          <m:sup>
            <m:r>
              <w:rPr>
                <w:rFonts w:ascii="Cambria Math" w:hAnsi="Cambria Math"/>
              </w:rPr>
              <m:t>l+1</m:t>
            </m:r>
          </m:sup>
        </m:sSup>
      </m:oMath>
      <w:r>
        <w:rPr>
          <w:rFonts w:ascii="Times New Roman" w:hAnsi="宋体" w:hint="eastAsia"/>
          <w:sz w:val="24"/>
          <w:szCs w:val="24"/>
        </w:rPr>
        <w:t xml:space="preserve">, </w:t>
      </w:r>
      <w:r>
        <w:rPr>
          <w:rFonts w:ascii="Times New Roman" w:hAnsi="宋体" w:hint="eastAsia"/>
          <w:sz w:val="24"/>
          <w:szCs w:val="24"/>
        </w:rPr>
        <w:t>Figure 7</w:t>
      </w:r>
      <w:r>
        <w:rPr>
          <w:rFonts w:ascii="Times New Roman" w:hAnsi="宋体" w:hint="eastAsia"/>
          <w:sz w:val="24"/>
          <w:szCs w:val="24"/>
        </w:rPr>
        <w:t xml:space="preserve"> shows the Swin Transformer Block. The computation process of the Swin Transformer Block is as follows.</w:t>
      </w:r>
    </w:p>
    <w:p>
      <w:pPr>
        <w:spacing w:before="200" w:after="100"/>
        <w:jc w:val="center"/>
      </w:pPr>
      <w:r>
        <w:drawing>
          <wp:inline distT="0" distR="0" distB="0" distL="0">
            <wp:extent cx="2736342" cy="696392"/>
            <wp:docPr id="6" name="Drawing 6" descr="hukongfa-7.jpg"/>
            <a:graphic xmlns:a="http://schemas.openxmlformats.org/drawingml/2006/main">
              <a:graphicData uri="http://schemas.openxmlformats.org/drawingml/2006/picture">
                <pic:pic xmlns:pic="http://schemas.openxmlformats.org/drawingml/2006/picture">
                  <pic:nvPicPr>
                    <pic:cNvPr id="0" name="Picture 6" descr="hukongfa-7.jpg"/>
                    <pic:cNvPicPr>
                      <a:picLocks noChangeAspect="true"/>
                    </pic:cNvPicPr>
                  </pic:nvPicPr>
                  <pic:blipFill>
                    <a:blip r:embed="rId15"/>
                    <a:stretch>
                      <a:fillRect/>
                    </a:stretch>
                  </pic:blipFill>
                  <pic:spPr>
                    <a:xfrm>
                      <a:off x="0" y="0"/>
                      <a:ext cx="2736342" cy="696392"/>
                    </a:xfrm>
                    <a:prstGeom prst="rect">
                      <a:avLst/>
                    </a:prstGeom>
                  </pic:spPr>
                </pic:pic>
              </a:graphicData>
            </a:graphic>
          </wp:inline>
        </w:drawing>
      </w:r>
    </w:p>
    <w:p>
      <w:pPr>
        <w:spacing w:after="200"/>
        <w:jc w:val="center"/>
      </w:pPr>
      <w:r>
        <w:rPr>
          <w:b w:val="true"/>
        </w:rPr>
        <w:t xml:space="preserve">Fig. 7  </w:t>
      </w:r>
      <w:r>
        <w:rPr>
          <w:b w:val="true"/>
        </w:rPr>
        <w:t>Swin Transformer Block</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m>
          <m:mPr>
            <m:baseJc m:val="center"/>
            <m:plcHide m:val="on"/>
            <m:mcs>
              <m:mc>
                <m:mcPr>
                  <m:count m:val="2"/>
                  <m:mcJc m:val="center"/>
                </m:mcPr>
              </m:mc>
            </m:mcs>
          </m:mPr>
          <m:mr>
            <m:e>
              <m:sSup>
                <m:e>
                  <m:limUpp>
                    <m:e>
                      <m:r>
                        <w:rPr>
                          <w:rFonts w:ascii="Cambria Math" w:hAnsi="Cambria Math"/>
                        </w:rPr>
                        <m:t>Z</m:t>
                      </m:r>
                    </m:e>
                    <m:lim>
                      <m:r>
                        <w:rPr>
                          <w:rFonts w:ascii="Cambria Math" w:hAnsi="Cambria Math"/>
                        </w:rPr>
                        <m:t>^</m:t>
                      </m:r>
                    </m:lim>
                  </m:limUpp>
                </m:e>
                <m:sup>
                  <m:r>
                    <w:rPr>
                      <w:rFonts w:ascii="Cambria Math" w:hAnsi="Cambria Math"/>
                    </w:rPr>
                    <m:t>l</m:t>
                  </m:r>
                </m:sup>
              </m:sSup>
              <m:r>
                <w:rPr>
                  <w:rFonts w:ascii="Cambria Math" w:hAnsi="Cambria Math"/>
                </w:rPr>
                <m:t>=</m:t>
              </m:r>
            </m:e>
            <m:e>
              <m:r>
                <m:rPr>
                  <m:nor/>
                </m:rPr>
                <w:rPr>
                  <w:rFonts w:ascii="Cambria Math" w:hAnsi="Cambria Math"/>
                </w:rPr>
                <m:t>MLP</m:t>
              </m:r>
              <m:r>
                <w:rPr>
                  <w:rFonts w:ascii="Cambria Math" w:hAnsi="Cambria Math"/>
                </w:rPr>
                <m:t>(</m:t>
              </m:r>
              <m:r>
                <m:rPr>
                  <m:nor/>
                </m:rPr>
                <w:rPr>
                  <w:rFonts w:ascii="Cambria Math" w:hAnsi="Cambria Math"/>
                </w:rPr>
                <m:t>LN</m:t>
              </m:r>
              <m:r>
                <w:rPr>
                  <w:rFonts w:ascii="Cambria Math" w:hAnsi="Cambria Math"/>
                </w:rPr>
                <m:t>(</m:t>
              </m:r>
              <m:r>
                <m:rPr>
                  <m:nor/>
                </m:rPr>
                <w:rPr>
                  <w:rFonts w:ascii="Cambria Math" w:hAnsi="Cambria Math"/>
                </w:rPr>
                <m:t>W\_MSA</m:t>
              </m:r>
              <m:r>
                <w:rPr>
                  <w:rFonts w:ascii="Cambria Math" w:hAnsi="Cambria Math"/>
                </w:rPr>
                <m:t>(</m:t>
              </m:r>
              <m:r>
                <m:rPr>
                  <m:nor/>
                </m:rPr>
                <w:rPr>
                  <w:rFonts w:ascii="Cambria Math" w:hAnsi="Cambria Math"/>
                </w:rPr>
                <m:t>LN</m:t>
              </m:r>
              <m:r>
                <w:rPr>
                  <w:rFonts w:ascii="Cambria Math" w:hAnsi="Cambria Math"/>
                </w:rPr>
                <m:t>(</m:t>
              </m:r>
              <m:sSup>
                <m:e>
                  <m:r>
                    <w:rPr>
                      <w:rFonts w:ascii="Cambria Math" w:hAnsi="Cambria Math"/>
                    </w:rPr>
                    <m:t>Z</m:t>
                  </m:r>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sSup>
                <m:e>
                  <m:r>
                    <w:rPr>
                      <w:rFonts w:ascii="Cambria Math" w:hAnsi="Cambria Math"/>
                    </w:rPr>
                    <m:t>Z</m:t>
                  </m:r>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e>
          </m:mr>
          <m:mr>
            <m:e/>
            <m:e>
              <m:r>
                <m:rPr>
                  <m:nor/>
                </m:rPr>
                <w:rPr>
                  <w:rFonts w:ascii="Cambria Math" w:hAnsi="Cambria Math"/>
                </w:rPr>
                <m:t>W\_MSA</m:t>
              </m:r>
              <m:r>
                <w:rPr>
                  <w:rFonts w:ascii="Cambria Math" w:hAnsi="Cambria Math"/>
                </w:rPr>
                <m:t>(</m:t>
              </m:r>
              <m:r>
                <m:rPr>
                  <m:nor/>
                </m:rPr>
                <w:rPr>
                  <w:rFonts w:ascii="Cambria Math" w:hAnsi="Cambria Math"/>
                </w:rPr>
                <m:t>LN</m:t>
              </m:r>
              <m:r>
                <w:rPr>
                  <w:rFonts w:ascii="Cambria Math" w:hAnsi="Cambria Math"/>
                </w:rPr>
                <m:t>(</m:t>
              </m:r>
              <m:sSup>
                <m:e>
                  <m:r>
                    <w:rPr>
                      <w:rFonts w:ascii="Cambria Math" w:hAnsi="Cambria Math"/>
                    </w:rPr>
                    <m:t>Z</m:t>
                  </m:r>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sSup>
                <m:e>
                  <m:r>
                    <w:rPr>
                      <w:rFonts w:ascii="Cambria Math" w:hAnsi="Cambria Math"/>
                    </w:rPr>
                    <m:t>Z</m:t>
                  </m:r>
                </m:e>
                <m:sup>
                  <m:r>
                    <w:rPr>
                      <w:rFonts w:ascii="Cambria Math" w:hAnsi="Cambria Math"/>
                    </w:rPr>
                    <m:t>l</m:t>
                  </m:r>
                </m:sup>
              </m:sSup>
            </m:e>
          </m:mr>
        </m:m>
      </m:oMath>
      <w:r>
        <w:tab/>
        <w:tab/>
        <w:tab/>
        <w:t>(12)</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m>
          <m:mPr>
            <m:baseJc m:val="center"/>
            <m:plcHide m:val="on"/>
            <m:mcs>
              <m:mc>
                <m:mcPr>
                  <m:count m:val="2"/>
                  <m:mcJc m:val="center"/>
                </m:mcPr>
              </m:mc>
            </m:mcs>
          </m:mPr>
          <m:mr>
            <m:e>
              <m:sSup>
                <m:e>
                  <m:r>
                    <w:rPr>
                      <w:rFonts w:ascii="Cambria Math" w:hAnsi="Cambria Math"/>
                    </w:rPr>
                    <m:t>Z</m:t>
                  </m:r>
                </m:e>
                <m:sup>
                  <m:r>
                    <w:rPr>
                      <w:rFonts w:ascii="Cambria Math" w:hAnsi="Cambria Math"/>
                    </w:rPr>
                    <m:t>l+1</m:t>
                  </m:r>
                </m:sup>
              </m:sSup>
              <m:r>
                <w:rPr>
                  <w:rFonts w:ascii="Cambria Math" w:hAnsi="Cambria Math"/>
                </w:rPr>
                <m:t>=</m:t>
              </m:r>
            </m:e>
            <m:e>
              <m:r>
                <m:rPr>
                  <m:nor/>
                </m:rPr>
                <w:rPr>
                  <w:rFonts w:ascii="Cambria Math" w:hAnsi="Cambria Math"/>
                </w:rPr>
                <m:t>MLP</m:t>
              </m:r>
              <m:r>
                <w:rPr>
                  <w:rFonts w:ascii="Cambria Math" w:hAnsi="Cambria Math"/>
                </w:rPr>
                <m:t>(</m:t>
              </m:r>
              <m:r>
                <m:rPr>
                  <m:nor/>
                </m:rPr>
                <w:rPr>
                  <w:rFonts w:ascii="Cambria Math" w:hAnsi="Cambria Math"/>
                </w:rPr>
                <m:t>LN</m:t>
              </m:r>
              <m:r>
                <w:rPr>
                  <w:rFonts w:ascii="Cambria Math" w:hAnsi="Cambria Math"/>
                </w:rPr>
                <m:t>(</m:t>
              </m:r>
              <m:r>
                <m:rPr>
                  <m:nor/>
                </m:rPr>
                <w:rPr>
                  <w:rFonts w:ascii="Cambria Math" w:hAnsi="Cambria Math"/>
                </w:rPr>
                <m:t>SW\_MSA</m:t>
              </m:r>
              <m:r>
                <w:rPr>
                  <w:rFonts w:ascii="Cambria Math" w:hAnsi="Cambria Math"/>
                </w:rPr>
                <m:t>(</m:t>
              </m:r>
              <m:r>
                <m:rPr>
                  <m:nor/>
                </m:rPr>
                <w:rPr>
                  <w:rFonts w:ascii="Cambria Math" w:hAnsi="Cambria Math"/>
                </w:rPr>
                <m:t>LN</m:t>
              </m:r>
              <m:r>
                <w:rPr>
                  <w:rFonts w:ascii="Cambria Math" w:hAnsi="Cambria Math"/>
                </w:rPr>
                <m:t>(</m:t>
              </m:r>
              <m:sSup>
                <m:e>
                  <m:limUpp>
                    <m:e>
                      <m:r>
                        <w:rPr>
                          <w:rFonts w:ascii="Cambria Math" w:hAnsi="Cambria Math"/>
                        </w:rPr>
                        <m:t>Z</m:t>
                      </m:r>
                    </m:e>
                    <m:lim>
                      <m:r>
                        <w:rPr>
                          <w:rFonts w:ascii="Cambria Math" w:hAnsi="Cambria Math"/>
                        </w:rPr>
                        <m:t>^</m:t>
                      </m:r>
                    </m:lim>
                  </m:limUpp>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sSup>
                <m:e>
                  <m:limUpp>
                    <m:e>
                      <m:r>
                        <w:rPr>
                          <w:rFonts w:ascii="Cambria Math" w:hAnsi="Cambria Math"/>
                        </w:rPr>
                        <m:t>Z</m:t>
                      </m:r>
                    </m:e>
                    <m:lim>
                      <m:r>
                        <w:rPr>
                          <w:rFonts w:ascii="Cambria Math" w:hAnsi="Cambria Math"/>
                        </w:rPr>
                        <m:t>^</m:t>
                      </m:r>
                    </m:lim>
                  </m:limUpp>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e>
          </m:mr>
          <m:mr>
            <m:e/>
            <m:e>
              <m:r>
                <m:rPr>
                  <m:nor/>
                </m:rPr>
                <w:rPr>
                  <w:rFonts w:ascii="Cambria Math" w:hAnsi="Cambria Math"/>
                </w:rPr>
                <m:t>SW\_MSA</m:t>
              </m:r>
              <m:r>
                <w:rPr>
                  <w:rFonts w:ascii="Cambria Math" w:hAnsi="Cambria Math"/>
                </w:rPr>
                <m:t>(</m:t>
              </m:r>
              <m:r>
                <m:rPr>
                  <m:nor/>
                </m:rPr>
                <w:rPr>
                  <w:rFonts w:ascii="Cambria Math" w:hAnsi="Cambria Math"/>
                </w:rPr>
                <m:t>LN</m:t>
              </m:r>
              <m:r>
                <w:rPr>
                  <w:rFonts w:ascii="Cambria Math" w:hAnsi="Cambria Math"/>
                </w:rPr>
                <m:t>(</m:t>
              </m:r>
              <m:sSup>
                <m:e>
                  <m:limUpp>
                    <m:e>
                      <m:r>
                        <w:rPr>
                          <w:rFonts w:ascii="Cambria Math" w:hAnsi="Cambria Math"/>
                        </w:rPr>
                        <m:t>Z</m:t>
                      </m:r>
                    </m:e>
                    <m:lim>
                      <m:r>
                        <w:rPr>
                          <w:rFonts w:ascii="Cambria Math" w:hAnsi="Cambria Math"/>
                        </w:rPr>
                        <m:t>^</m:t>
                      </m:r>
                    </m:lim>
                  </m:limUpp>
                </m:e>
                <m:sup>
                  <m:r>
                    <w:rPr>
                      <w:rFonts w:ascii="Cambria Math" w:hAnsi="Cambria Math"/>
                    </w:rPr>
                    <m:t>l</m:t>
                  </m:r>
                </m:sup>
              </m:sSup>
              <m:r>
                <w:rPr>
                  <w:rFonts w:ascii="Cambria Math" w:hAnsi="Cambria Math"/>
                </w:rPr>
                <m:t>)</m:t>
              </m:r>
              <m:r>
                <w:rPr>
                  <w:rFonts w:ascii="Cambria Math" w:hAnsi="Cambria Math"/>
                </w:rPr>
                <m:t>)</m:t>
              </m:r>
              <m:r>
                <w:rPr>
                  <w:rFonts w:ascii="Cambria Math" w:hAnsi="Cambria Math"/>
                </w:rPr>
                <m:t>+</m:t>
              </m:r>
              <m:sSup>
                <m:e>
                  <m:limUpp>
                    <m:e>
                      <m:r>
                        <w:rPr>
                          <w:rFonts w:ascii="Cambria Math" w:hAnsi="Cambria Math"/>
                        </w:rPr>
                        <m:t>Z</m:t>
                      </m:r>
                    </m:e>
                    <m:lim>
                      <m:r>
                        <w:rPr>
                          <w:rFonts w:ascii="Cambria Math" w:hAnsi="Cambria Math"/>
                        </w:rPr>
                        <m:t>^</m:t>
                      </m:r>
                    </m:lim>
                  </m:limUpp>
                </m:e>
                <m:sup>
                  <m:r>
                    <w:rPr>
                      <w:rFonts w:ascii="Cambria Math" w:hAnsi="Cambria Math"/>
                    </w:rPr>
                    <m:t>l</m:t>
                  </m:r>
                </m:sup>
              </m:sSup>
            </m:e>
          </m:mr>
        </m:m>
      </m:oMath>
      <w:r>
        <w:tab/>
        <w:tab/>
        <w:tab/>
        <w:t>(13)</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LN is the layer normalization operation that standardizes the input. W_MSA is a window self-attention module, MLP is a multi-layer perceptron module, and SW_MSA is a moving window self-attention module. </w:t>
      </w:r>
      <m:oMath xmlns:mml="http://www.w3.org/1998/Math/MathML">
        <m:sSup>
          <m:e>
            <m:limUpp>
              <m:e>
                <m:r>
                  <w:rPr>
                    <w:rFonts w:ascii="Cambria Math" w:hAnsi="Cambria Math"/>
                  </w:rPr>
                  <m:t>Z</m:t>
                </m:r>
              </m:e>
              <m:lim>
                <m:r>
                  <w:rPr>
                    <w:rFonts w:ascii="Cambria Math" w:hAnsi="Cambria Math"/>
                  </w:rPr>
                  <m:t>^</m:t>
                </m:r>
              </m:lim>
            </m:limUpp>
          </m:e>
          <m:sup>
            <m:r>
              <w:rPr>
                <w:rFonts w:ascii="Cambria Math" w:hAnsi="Cambria Math"/>
              </w:rPr>
              <m:t>l</m:t>
            </m:r>
          </m:sup>
        </m:sSup>
      </m:oMath>
      <w:r>
        <w:rPr>
          <w:rFonts w:ascii="Times New Roman" w:hAnsi="宋体" w:hint="eastAsia"/>
          <w:sz w:val="24"/>
          <w:szCs w:val="24"/>
        </w:rPr>
        <w:t xml:space="preserve"> gained features from </w:t>
      </w:r>
      <m:oMath xmlns:mml="http://www.w3.org/1998/Math/MathML">
        <m:sSup>
          <m:e>
            <m:limUpp>
              <m:e>
                <m:r>
                  <w:rPr>
                    <w:rFonts w:ascii="Cambria Math" w:hAnsi="Cambria Math"/>
                  </w:rPr>
                  <m:t>Z</m:t>
                </m:r>
              </m:e>
              <m:lim>
                <m:r>
                  <w:rPr>
                    <w:rFonts w:ascii="Cambria Math" w:hAnsi="Cambria Math"/>
                  </w:rPr>
                  <m:t>^</m:t>
                </m:r>
              </m:lim>
            </m:limUpp>
          </m:e>
          <m:sup>
            <m:r>
              <w:rPr>
                <w:rFonts w:ascii="Cambria Math" w:hAnsi="Cambria Math"/>
              </w:rPr>
              <m:t>l</m:t>
            </m:r>
          </m:sup>
        </m:sSup>
      </m:oMath>
      <w:r>
        <w:rPr>
          <w:rFonts w:ascii="Times New Roman" w:hAnsi="宋体" w:hint="eastAsia"/>
          <w:sz w:val="24"/>
          <w:szCs w:val="24"/>
        </w:rPr>
        <w:t xml:space="preserve"> through operations involving LN, W_MSA, and the MLP modules. Then the feature map </w:t>
      </w:r>
      <m:oMath xmlns:mml="http://www.w3.org/1998/Math/MathML">
        <m:sSup>
          <m:e>
            <m:r>
              <w:rPr>
                <w:rFonts w:ascii="Cambria Math" w:hAnsi="Cambria Math"/>
              </w:rPr>
              <m:t>Z</m:t>
            </m:r>
          </m:e>
          <m:sup>
            <m:r>
              <w:rPr>
                <w:rFonts w:ascii="Cambria Math" w:hAnsi="Cambria Math"/>
              </w:rPr>
              <m:t>l+1</m:t>
            </m:r>
          </m:sup>
        </m:sSup>
      </m:oMath>
      <w:r>
        <w:rPr>
          <w:rFonts w:ascii="Times New Roman" w:hAnsi="宋体" w:hint="eastAsia"/>
          <w:sz w:val="24"/>
          <w:szCs w:val="24"/>
        </w:rPr>
        <w:t xml:space="preserve"> was generated by the operation of </w:t>
      </w:r>
      <m:oMath xmlns:mml="http://www.w3.org/1998/Math/MathML">
        <m:sSup>
          <m:e>
            <m:limUpp>
              <m:e>
                <m:r>
                  <w:rPr>
                    <w:rFonts w:ascii="Cambria Math" w:hAnsi="Cambria Math"/>
                  </w:rPr>
                  <m:t>Z</m:t>
                </m:r>
              </m:e>
              <m:lim>
                <m:r>
                  <w:rPr>
                    <w:rFonts w:ascii="Cambria Math" w:hAnsi="Cambria Math"/>
                  </w:rPr>
                  <m:t>^</m:t>
                </m:r>
              </m:lim>
            </m:limUpp>
          </m:e>
          <m:sup>
            <m:r>
              <w:rPr>
                <w:rFonts w:ascii="Cambria Math" w:hAnsi="Cambria Math"/>
              </w:rPr>
              <m:t>l</m:t>
            </m:r>
          </m:sup>
        </m:sSup>
      </m:oMath>
      <w:r>
        <w:rPr>
          <w:rFonts w:ascii="Times New Roman" w:hAnsi="宋体" w:hint="eastAsia"/>
          <w:sz w:val="24"/>
          <w:szCs w:val="24"/>
        </w:rPr>
        <w:t xml:space="preserve"> through LN, SW_MSA, MLP modules.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Stage 3 − 5, the Patch Merging layer merged adjacent image patches, facilitating the consolidation of information. Following this, each consolidated patch underwent feature extraction and interaction within the Swin Transformer Block, collaboratively contributing to the construction of an enriched feature map. This sequence of Patch Merging and Transformer Block operations, consistently executed across all three stages, effectively processes the input image’s information, enhancing the model’s performance and representational capabilities while maintaining its lightweight architecture.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CResNet module, an enhancement of the convolutional layer inspired by ResNet50 </w:t>
      </w:r>
      <w:r>
        <w:rPr>
          <w:rFonts w:ascii="Times New Roman" w:hAnsi="宋体" w:hint="eastAsia"/>
          <w:sz w:val="24"/>
          <w:szCs w:val="24"/>
          <w:vertAlign w:val="superscript"/>
        </w:rPr>
        <w:t>[</w:t>
      </w:r>
      <w:r>
        <w:rPr>
          <w:rFonts w:ascii="Times New Roman" w:hAnsi="宋体" w:hint="eastAsia"/>
          <w:sz w:val="24"/>
          <w:szCs w:val="24"/>
          <w:vertAlign w:val="superscript"/>
        </w:rPr>
        <w:t>25</w:t>
      </w:r>
      <w:r>
        <w:rPr>
          <w:rFonts w:ascii="Times New Roman" w:hAnsi="宋体" w:hint="eastAsia"/>
          <w:sz w:val="24"/>
          <w:szCs w:val="24"/>
          <w:vertAlign w:val="superscript"/>
        </w:rPr>
        <w:t>]</w:t>
      </w:r>
      <w:r>
        <w:rPr>
          <w:rFonts w:ascii="Times New Roman" w:hAnsi="宋体" w:hint="eastAsia"/>
          <w:sz w:val="24"/>
          <w:szCs w:val="24"/>
        </w:rPr>
        <w:t xml:space="preserve">, innovatively incorporates the convolutional attention mechanism of CBAM </w:t>
      </w:r>
      <w:r>
        <w:rPr>
          <w:rFonts w:ascii="Times New Roman" w:hAnsi="宋体" w:hint="eastAsia"/>
          <w:sz w:val="24"/>
          <w:szCs w:val="24"/>
          <w:vertAlign w:val="superscript"/>
        </w:rPr>
        <w:t>[</w:t>
      </w:r>
      <w:r>
        <w:rPr>
          <w:rFonts w:ascii="Times New Roman" w:hAnsi="宋体" w:hint="eastAsia"/>
          <w:sz w:val="24"/>
          <w:szCs w:val="24"/>
          <w:vertAlign w:val="superscript"/>
        </w:rPr>
        <w:t>36</w:t>
      </w:r>
      <w:r>
        <w:rPr>
          <w:rFonts w:ascii="Times New Roman" w:hAnsi="宋体" w:hint="eastAsia"/>
          <w:sz w:val="24"/>
          <w:szCs w:val="24"/>
          <w:vertAlign w:val="superscript"/>
        </w:rPr>
        <w:t>]</w:t>
      </w:r>
      <w:r>
        <w:rPr>
          <w:rFonts w:ascii="Times New Roman" w:hAnsi="宋体" w:hint="eastAsia"/>
          <w:sz w:val="24"/>
          <w:szCs w:val="24"/>
        </w:rPr>
        <w:t>. This integration allows the network to sharpen its focus on significant features while minimizing disruptive noise interference. It is structured into five key stages: Stage 1 − 5. The CResNet module commences with Stage 1, which comprises two essential levels: Conv-CBAM and MaxPool. At the Conv-CBAM level, the full-body standing image underwent initial processing through a convolutional layer, subsequently refined by the application of the CBAM convolutional attention mechanism. The subsequent MaxPool layer then performed downsampling through the efficient maximum pooling method. The calculation formula for the CBAM is as follows.</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m>
          <m:mPr>
            <m:baseJc m:val="center"/>
            <m:plcHide m:val="on"/>
            <m:mcs>
              <m:mc>
                <m:mcPr>
                  <m:count m:val="2"/>
                  <m:mcJc m:val="center"/>
                </m:mcPr>
              </m:mc>
            </m:mcs>
          </m:mPr>
          <m:mr>
            <m:e>
              <m:sSup>
                <m:e>
                  <m:r>
                    <w:rPr>
                      <w:rFonts w:ascii="Cambria Math" w:hAnsi="Cambria Math"/>
                    </w:rPr>
                    <m:t>F</m:t>
                  </m:r>
                </m:e>
                <m:sup>
                  <m:r>
                    <w:rPr>
                      <w:rFonts w:ascii="Cambria Math" w:hAnsi="Cambria Math"/>
                    </w:rPr>
                    <m:t>′</m:t>
                  </m:r>
                </m:sup>
              </m:sSup>
              <m:r>
                <w:rPr>
                  <w:rFonts w:ascii="Cambria Math" w:hAnsi="Cambria Math"/>
                </w:rPr>
                <m:t>=</m:t>
              </m:r>
            </m:e>
            <m:e>
              <m:r>
                <m:rPr>
                  <m:sty m:val="p"/>
                </m:rPr>
                <w:rPr>
                  <w:rFonts w:ascii="Cambria Math" w:hAnsi="Cambria Math"/>
                </w:rPr>
                <m:t>Sigmod</m:t>
              </m:r>
              <m:r>
                <w:rPr>
                  <w:rFonts w:ascii="Cambria Math" w:hAnsi="Cambria Math"/>
                </w:rPr>
                <m:t>(</m:t>
              </m:r>
              <m:r>
                <m:rPr>
                  <m:sty m:val="p"/>
                </m:rPr>
                <w:rPr>
                  <w:rFonts w:ascii="Cambria Math" w:hAnsi="Cambria Math"/>
                </w:rPr>
                <m:t>MLP</m:t>
              </m:r>
              <m:r>
                <w:rPr>
                  <w:rFonts w:ascii="Cambria Math" w:hAnsi="Cambria Math"/>
                </w:rPr>
                <m:t>(</m:t>
              </m:r>
              <m:r>
                <m:rPr>
                  <m:sty m:val="p"/>
                </m:rPr>
                <w:rPr>
                  <w:rFonts w:ascii="Cambria Math" w:hAnsi="Cambria Math"/>
                </w:rPr>
                <m:t>AvgPool</m:t>
              </m:r>
              <m:r>
                <w:rPr>
                  <w:rFonts w:ascii="Cambria Math" w:hAnsi="Cambria Math"/>
                </w:rPr>
                <m:t>(F))+</m:t>
              </m:r>
              <m:r>
                <m:rPr>
                  <m:sty m:val="p"/>
                </m:rPr>
                <w:rPr>
                  <w:rFonts w:ascii="Cambria Math" w:hAnsi="Cambria Math"/>
                </w:rPr>
                <m:t>MLP</m:t>
              </m:r>
            </m:e>
          </m:mr>
          <m:mr>
            <m:e/>
            <m:e>
              <m:r>
                <w:rPr>
                  <w:rFonts w:ascii="Cambria Math" w:hAnsi="Cambria Math"/>
                </w:rPr>
                <m:t>(</m:t>
              </m:r>
              <m:r>
                <m:rPr>
                  <m:sty m:val="p"/>
                </m:rPr>
                <w:rPr>
                  <w:rFonts w:ascii="Cambria Math" w:hAnsi="Cambria Math"/>
                </w:rPr>
                <m:t>MaxPool</m:t>
              </m:r>
              <m:r>
                <w:rPr>
                  <w:rFonts w:ascii="Cambria Math" w:hAnsi="Cambria Math"/>
                </w:rPr>
                <m:t>(F)))⊗F</m:t>
              </m:r>
            </m:e>
          </m:mr>
        </m:m>
      </m:oMath>
      <w:r>
        <w:tab/>
        <w:tab/>
        <w:tab/>
        <w:t>(14)</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p>
          <m:e>
            <m:r>
              <w:rPr>
                <w:rFonts w:ascii="Cambria Math" w:hAnsi="Cambria Math"/>
              </w:rPr>
              <m:t>F</m:t>
            </m:r>
          </m:e>
          <m:sup>
            <m:r>
              <w:rPr>
                <w:rFonts w:ascii="Cambria Math" w:hAnsi="Cambria Math"/>
              </w:rPr>
              <m:t>″</m:t>
            </m:r>
          </m:sup>
        </m:sSup>
        <m:r>
          <w:rPr>
            <w:rFonts w:ascii="Cambria Math" w:hAnsi="Cambria Math"/>
          </w:rPr>
          <m:t>=</m:t>
        </m:r>
        <m:r>
          <m:rPr>
            <m:sty m:val="p"/>
          </m:rPr>
          <w:rPr>
            <w:rFonts w:ascii="Cambria Math" w:hAnsi="Cambria Math"/>
          </w:rPr>
          <m:t>Sigmod</m:t>
        </m:r>
        <m:r>
          <w:rPr>
            <w:rFonts w:ascii="Cambria Math" w:hAnsi="Cambria Math"/>
          </w:rPr>
          <m:t>(</m:t>
        </m:r>
        <m:sSup>
          <m:e>
            <m:r>
              <w:rPr>
                <w:rFonts w:ascii="Cambria Math" w:hAnsi="Cambria Math"/>
              </w:rPr>
              <m:t>f</m:t>
            </m:r>
          </m:e>
          <m:sup>
            <m:r>
              <w:rPr>
                <w:rFonts w:ascii="Cambria Math" w:hAnsi="Cambria Math"/>
              </w:rPr>
              <m:t>7×7</m:t>
            </m:r>
          </m:sup>
        </m:sSup>
        <m:r>
          <w:rPr>
            <w:rFonts w:ascii="Cambria Math" w:hAnsi="Cambria Math"/>
          </w:rPr>
          <m:t>(</m:t>
        </m:r>
        <m:r>
          <w:rPr>
            <w:rFonts w:ascii="Cambria Math" w:hAnsi="Cambria Math"/>
          </w:rPr>
          <m:t>[</m:t>
        </m:r>
        <m:r>
          <m:rPr>
            <m:sty m:val="p"/>
          </m:rPr>
          <w:rPr>
            <w:rFonts w:ascii="Cambria Math" w:hAnsi="Cambria Math"/>
          </w:rPr>
          <m:t>AvgPool</m:t>
        </m:r>
        <m:r>
          <w:rPr>
            <w:rFonts w:ascii="Cambria Math" w:hAnsi="Cambria Math"/>
          </w:rPr>
          <m:t>(F)</m:t>
        </m:r>
        <m:r>
          <w:rPr>
            <w:rFonts w:ascii="Cambria Math" w:hAnsi="Cambria Math"/>
          </w:rPr>
          <m:t>;</m:t>
        </m:r>
        <m:r>
          <m:rPr>
            <m:sty m:val="p"/>
          </m:rPr>
          <w:rPr>
            <w:rFonts w:ascii="Cambria Math" w:hAnsi="Cambria Math"/>
          </w:rPr>
          <m:t>MaxPool</m:t>
        </m:r>
        <m:r>
          <w:rPr>
            <w:rFonts w:ascii="Cambria Math" w:hAnsi="Cambria Math"/>
          </w:rPr>
          <m:t>(F)</m:t>
        </m:r>
        <m:r>
          <w:rPr>
            <w:rFonts w:ascii="Cambria Math" w:hAnsi="Cambria Math"/>
          </w:rPr>
          <m:t>]</m:t>
        </m:r>
        <m:r>
          <w:rPr>
            <w:rFonts w:ascii="Cambria Math" w:hAnsi="Cambria Math"/>
          </w:rPr>
          <m:t>)</m:t>
        </m:r>
        <m:r>
          <w:rPr>
            <w:rFonts w:ascii="Cambria Math" w:hAnsi="Cambria Math"/>
          </w:rPr>
          <m:t>)</m:t>
        </m:r>
        <m:r>
          <w:rPr>
            <w:rFonts w:ascii="Cambria Math" w:hAnsi="Cambria Math"/>
          </w:rPr>
          <m:t>⊗</m:t>
        </m:r>
        <m:sSup>
          <m:e>
            <m:r>
              <w:rPr>
                <w:rFonts w:ascii="Cambria Math" w:hAnsi="Cambria Math"/>
              </w:rPr>
              <m:t>F</m:t>
            </m:r>
          </m:e>
          <m:sup>
            <m:r>
              <w:rPr>
                <w:rFonts w:ascii="Cambria Math" w:hAnsi="Cambria Math"/>
              </w:rPr>
              <m:t>′</m:t>
            </m:r>
          </m:sup>
        </m:sSup>
      </m:oMath>
      <w:r>
        <w:tab/>
        <w:tab/>
        <w:tab/>
        <w:t>(15)</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Where </w:t>
      </w:r>
      <w:r>
        <w:rPr>
          <w:rFonts w:ascii="Times New Roman" w:hAnsi="宋体" w:hint="eastAsia"/>
          <w:i w:val="true"/>
          <w:sz w:val="24"/>
          <w:szCs w:val="24"/>
        </w:rPr>
        <w:t>F</w:t>
      </w:r>
      <w:r>
        <w:rPr>
          <w:rFonts w:ascii="Times New Roman" w:hAnsi="宋体" w:hint="eastAsia"/>
          <w:sz w:val="24"/>
          <w:szCs w:val="24"/>
        </w:rPr>
        <w:t xml:space="preserve"> represents the feature map generated by the convolutional layer, which was then processed through the Sigmod activation function. The feature map underwent two parallel operations: </w:t>
      </w:r>
      <m:oMath xmlns:mml="http://www.w3.org/1998/Math/MathML">
        <m:r>
          <m:rPr>
            <m:sty m:val="p"/>
          </m:rPr>
          <w:rPr>
            <w:rFonts w:ascii="Cambria Math" w:hAnsi="Cambria Math"/>
          </w:rPr>
          <m:t>AvgPool</m:t>
        </m:r>
        <m:r>
          <w:rPr>
            <w:rFonts w:ascii="Cambria Math" w:hAnsi="Cambria Math"/>
          </w:rPr>
          <m:t>(F)</m:t>
        </m:r>
      </m:oMath>
      <w:r>
        <w:rPr>
          <w:rFonts w:ascii="Times New Roman" w:hAnsi="宋体" w:hint="eastAsia"/>
          <w:sz w:val="24"/>
          <w:szCs w:val="24"/>
        </w:rPr>
        <w:t xml:space="preserve"> for average pooling and </w:t>
      </w:r>
      <m:oMath xmlns:mml="http://www.w3.org/1998/Math/MathML">
        <m:r>
          <m:rPr>
            <m:sty m:val="p"/>
          </m:rPr>
          <w:rPr>
            <w:rFonts w:ascii="Cambria Math" w:hAnsi="Cambria Math"/>
          </w:rPr>
          <m:t>MaxPool</m:t>
        </m:r>
        <m:r>
          <w:rPr>
            <w:rFonts w:ascii="Cambria Math" w:hAnsi="Cambria Math"/>
          </w:rPr>
          <m:t>(F)</m:t>
        </m:r>
      </m:oMath>
      <w:r>
        <w:rPr>
          <w:rFonts w:ascii="Times New Roman" w:hAnsi="宋体" w:hint="eastAsia"/>
          <w:sz w:val="24"/>
          <w:szCs w:val="24"/>
        </w:rPr>
        <w:t xml:space="preserve"> for maximum pooling. Subsequently, a 7 × 7 convolution kernel (denoted as </w:t>
      </w:r>
      <m:oMath xmlns:mml="http://www.w3.org/1998/Math/MathML">
        <m:sSup>
          <m:e>
            <m:r>
              <w:rPr>
                <w:rFonts w:ascii="Cambria Math" w:hAnsi="Cambria Math"/>
              </w:rPr>
              <m:t>f</m:t>
            </m:r>
          </m:e>
          <m:sup>
            <m:r>
              <w:rPr>
                <w:rFonts w:ascii="Cambria Math" w:hAnsi="Cambria Math"/>
              </w:rPr>
              <m:t>7×7</m:t>
            </m:r>
          </m:sup>
        </m:sSup>
      </m:oMath>
      <w:r>
        <w:rPr>
          <w:rFonts w:ascii="Times New Roman" w:hAnsi="宋体" w:hint="eastAsia"/>
          <w:sz w:val="24"/>
          <w:szCs w:val="24"/>
        </w:rPr>
        <w:t xml:space="preserve">) was applied to both average-pooled and maximum-pooled outputs. The results of this convolution operation, which fused with the original feature map through a channel-based attention mechanism, yielded </w:t>
      </w:r>
      <m:oMath xmlns:mml="http://www.w3.org/1998/Math/MathML">
        <m:sSup>
          <m:e>
            <m:r>
              <w:rPr>
                <w:rFonts w:ascii="Cambria Math" w:hAnsi="Cambria Math"/>
              </w:rPr>
              <m:t>F</m:t>
            </m:r>
          </m:e>
          <m:sup>
            <m:r>
              <w:rPr>
                <w:rFonts w:ascii="Cambria Math" w:hAnsi="Cambria Math"/>
              </w:rPr>
              <m:t>″</m:t>
            </m:r>
          </m:sup>
        </m:sSup>
      </m:oMath>
      <w:r>
        <w:rPr>
          <w:rFonts w:ascii="Times New Roman" w:hAnsi="宋体" w:hint="eastAsia"/>
          <w:sz w:val="24"/>
          <w:szCs w:val="24"/>
        </w:rPr>
        <w:t xml:space="preserve">, emphasizing salient channels. Further, </w:t>
      </w:r>
      <m:oMath xmlns:mml="http://www.w3.org/1998/Math/MathML">
        <m:sSup>
          <m:e>
            <m:r>
              <w:rPr>
                <w:rFonts w:ascii="Cambria Math" w:hAnsi="Cambria Math"/>
              </w:rPr>
              <m:t>F</m:t>
            </m:r>
          </m:e>
          <m:sup>
            <m:r>
              <w:rPr>
                <w:rFonts w:ascii="Cambria Math" w:hAnsi="Cambria Math"/>
              </w:rPr>
              <m:t>″</m:t>
            </m:r>
          </m:sup>
        </m:sSup>
      </m:oMath>
      <w:r>
        <w:rPr>
          <w:rFonts w:ascii="Times New Roman" w:hAnsi="宋体" w:hint="eastAsia"/>
          <w:sz w:val="24"/>
          <w:szCs w:val="24"/>
        </w:rPr>
        <w:t xml:space="preserve"> underwent a spatial attention mechanism, resulting in </w:t>
      </w:r>
      <m:oMath xmlns:mml="http://www.w3.org/1998/Math/MathML">
        <m:sSup>
          <m:e>
            <m:r>
              <w:rPr>
                <w:rFonts w:ascii="Cambria Math" w:hAnsi="Cambria Math"/>
              </w:rPr>
              <m:t>F</m:t>
            </m:r>
          </m:e>
          <m:sup>
            <m:r>
              <w:rPr>
                <w:rFonts w:ascii="Cambria Math" w:hAnsi="Cambria Math"/>
              </w:rPr>
              <m:t>″</m:t>
            </m:r>
          </m:sup>
        </m:sSup>
      </m:oMath>
      <w:r>
        <w:rPr>
          <w:rFonts w:ascii="Times New Roman" w:hAnsi="宋体" w:hint="eastAsia"/>
          <w:sz w:val="24"/>
          <w:szCs w:val="24"/>
        </w:rPr>
        <w:t>, which accentuated meaningful spatial regions within the feature map.</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Stage 2 − 5, the integration of three Conv-CBAM layers fostered robust feature propagation and seamless information flow, facilitated by the strategic deployment of residual blocks </w:t>
      </w:r>
      <w:r>
        <w:rPr>
          <w:rFonts w:ascii="Times New Roman" w:hAnsi="宋体" w:hint="eastAsia"/>
          <w:sz w:val="24"/>
          <w:szCs w:val="24"/>
          <w:vertAlign w:val="superscript"/>
        </w:rPr>
        <w:t>[</w:t>
      </w:r>
      <w:r>
        <w:rPr>
          <w:rFonts w:ascii="Times New Roman" w:hAnsi="宋体" w:hint="eastAsia"/>
          <w:sz w:val="24"/>
          <w:szCs w:val="24"/>
          <w:vertAlign w:val="superscript"/>
        </w:rPr>
        <w:t>37</w:t>
      </w:r>
      <w:r>
        <w:rPr>
          <w:rFonts w:ascii="Times New Roman" w:hAnsi="宋体" w:hint="eastAsia"/>
          <w:sz w:val="24"/>
          <w:szCs w:val="24"/>
          <w:vertAlign w:val="superscript"/>
        </w:rPr>
        <w:t>]</w:t>
      </w:r>
      <w:r>
        <w:rPr>
          <w:rFonts w:ascii="Times New Roman" w:hAnsi="宋体" w:hint="eastAsia"/>
          <w:sz w:val="24"/>
          <w:szCs w:val="24"/>
        </w:rPr>
        <w:t>. These residual blocks were designed to empower the network to delve deeper into learning complex feature representations, thereby enhancing the model's overall performance and efficiency. Within these stages, the primary function of these residual blocks was to aid the network in effectively capturing subtle variations and significant features within the data by linking input features to learned residuals. This mechanism has enhanced the model’s representational and generalization capabilities.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heatmap intuitively displays the level of regional attention. </w:t>
      </w:r>
      <w:r>
        <w:rPr>
          <w:rFonts w:ascii="Times New Roman" w:hAnsi="宋体" w:hint="eastAsia"/>
          <w:sz w:val="24"/>
          <w:szCs w:val="24"/>
        </w:rPr>
        <w:t>Figure 8</w:t>
      </w:r>
      <w:r>
        <w:rPr>
          <w:rFonts w:ascii="Times New Roman" w:hAnsi="宋体" w:hint="eastAsia"/>
          <w:sz w:val="24"/>
          <w:szCs w:val="24"/>
        </w:rPr>
        <w:t xml:space="preserve"> shows the heatmap of deep features for different TCM constitutions, and the balanced constitution has a wider receptive field than that of the biased constitution. The prominence of a feature at its corresponding position within prior boxes correlates with the intensity of heat </w:t>
      </w:r>
      <w:r>
        <w:rPr>
          <w:rFonts w:ascii="Times New Roman" w:hAnsi="宋体" w:hint="eastAsia"/>
          <w:sz w:val="24"/>
          <w:szCs w:val="24"/>
          <w:vertAlign w:val="superscript"/>
        </w:rPr>
        <w:t>[</w:t>
      </w:r>
      <w:r>
        <w:rPr>
          <w:rFonts w:ascii="Times New Roman" w:hAnsi="宋体" w:hint="eastAsia"/>
          <w:sz w:val="24"/>
          <w:szCs w:val="24"/>
          <w:vertAlign w:val="superscript"/>
        </w:rPr>
        <w:t>38</w:t>
      </w:r>
      <w:r>
        <w:rPr>
          <w:rFonts w:ascii="Times New Roman" w:hAnsi="宋体" w:hint="eastAsia"/>
          <w:sz w:val="24"/>
          <w:szCs w:val="24"/>
          <w:vertAlign w:val="superscript"/>
        </w:rPr>
        <w:t>]</w:t>
      </w:r>
      <w:r>
        <w:rPr>
          <w:rFonts w:ascii="Times New Roman" w:hAnsi="宋体" w:hint="eastAsia"/>
          <w:sz w:val="24"/>
          <w:szCs w:val="24"/>
        </w:rPr>
        <w:t>.</w:t>
      </w:r>
    </w:p>
    <w:p>
      <w:pPr>
        <w:spacing w:before="200" w:after="100"/>
        <w:jc w:val="center"/>
      </w:pPr>
      <w:r>
        <w:drawing>
          <wp:inline distT="0" distR="0" distB="0" distL="0">
            <wp:extent cx="2736342" cy="1446352"/>
            <wp:docPr id="7" name="Drawing 7" descr="hukongfa-8.jpg"/>
            <a:graphic xmlns:a="http://schemas.openxmlformats.org/drawingml/2006/main">
              <a:graphicData uri="http://schemas.openxmlformats.org/drawingml/2006/picture">
                <pic:pic xmlns:pic="http://schemas.openxmlformats.org/drawingml/2006/picture">
                  <pic:nvPicPr>
                    <pic:cNvPr id="0" name="Picture 7" descr="hukongfa-8.jpg"/>
                    <pic:cNvPicPr>
                      <a:picLocks noChangeAspect="true"/>
                    </pic:cNvPicPr>
                  </pic:nvPicPr>
                  <pic:blipFill>
                    <a:blip r:embed="rId16"/>
                    <a:stretch>
                      <a:fillRect/>
                    </a:stretch>
                  </pic:blipFill>
                  <pic:spPr>
                    <a:xfrm>
                      <a:off x="0" y="0"/>
                      <a:ext cx="2736342" cy="1446352"/>
                    </a:xfrm>
                    <a:prstGeom prst="rect">
                      <a:avLst/>
                    </a:prstGeom>
                  </pic:spPr>
                </pic:pic>
              </a:graphicData>
            </a:graphic>
          </wp:inline>
        </w:drawing>
      </w:r>
    </w:p>
    <w:p>
      <w:pPr>
        <w:spacing w:after="200"/>
        <w:jc w:val="center"/>
      </w:pPr>
      <w:r>
        <w:rPr>
          <w:b w:val="true"/>
        </w:rPr>
        <w:t xml:space="preserve">Fig. 8  </w:t>
      </w:r>
      <w:r>
        <w:rPr>
          <w:b w:val="true"/>
        </w:rPr>
        <w:t>Heatmaps of deep features for different constitutions in TCM</w:t>
      </w:r>
    </w:p>
    <w:p>
      <w:pPr>
        <w:spacing w:before="156" w:beforeLines="50" w:line="360" w:lineRule="auto"/>
        <w:jc w:val="left"/>
        <w:rPr>
          <w:rFonts w:ascii="Times New Roman" w:hAnsi="宋体"/>
          <w:sz w:val="24"/>
          <w:szCs w:val="24"/>
        </w:rPr>
      </w:pPr>
      <w:r>
        <w:rPr>
          <w:rFonts w:ascii="Times New Roman" w:hAnsi="宋体" w:hint="eastAsia"/>
          <w:b/>
          <w:sz w:val="32"/>
          <w:szCs w:val="32"/>
        </w:rPr>
        <w:t>4  Experiment and analysis</w:t>
      </w:r>
    </w:p>
    <w:p>
      <w:pPr>
        <w:spacing w:before="156" w:beforeLines="50" w:line="360" w:lineRule="auto"/>
        <w:jc w:val="left"/>
        <w:rPr>
          <w:rFonts w:ascii="Times New Roman" w:hAnsi="宋体"/>
          <w:sz w:val="24"/>
          <w:szCs w:val="24"/>
        </w:rPr>
      </w:pPr>
      <w:r>
        <w:rPr>
          <w:rFonts w:ascii="Times New Roman" w:hAnsi="宋体" w:hint="eastAsia"/>
          <w:b/>
          <w:sz w:val="26"/>
          <w:szCs w:val="32"/>
        </w:rPr>
        <w:t>4.1  Experimental environment and evaluation metrics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computing platform environment employed in this paper was GeForce RTX 3080 GPU with 32 GB of RAM. The network construction, training, and testing were carried out using Python 3.7 and PyTorch 1.8.2 + cu111.</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this paper, a total of 125 subjects’ full-body standing images and constitution data were collected, and divided into a training dataset and a test dataset in a 7∶3 ratio. Regularization is a method used to avoid model overfitting and reduce generalization error </w:t>
      </w:r>
      <w:r>
        <w:rPr>
          <w:rFonts w:ascii="Times New Roman" w:hAnsi="宋体" w:hint="eastAsia"/>
          <w:sz w:val="24"/>
          <w:szCs w:val="24"/>
          <w:vertAlign w:val="superscript"/>
        </w:rPr>
        <w:t>[</w:t>
      </w:r>
      <w:r>
        <w:rPr>
          <w:rFonts w:ascii="Times New Roman" w:hAnsi="宋体" w:hint="eastAsia"/>
          <w:sz w:val="24"/>
          <w:szCs w:val="24"/>
          <w:vertAlign w:val="superscript"/>
        </w:rPr>
        <w:t>39</w:t>
      </w:r>
      <w:r>
        <w:rPr>
          <w:rFonts w:ascii="Times New Roman" w:hAnsi="宋体" w:hint="eastAsia"/>
          <w:sz w:val="24"/>
          <w:szCs w:val="24"/>
          <w:vertAlign w:val="superscript"/>
        </w:rPr>
        <w:t>]</w:t>
      </w:r>
      <w:r>
        <w:rPr>
          <w:rFonts w:ascii="Times New Roman" w:hAnsi="宋体" w:hint="eastAsia"/>
          <w:sz w:val="24"/>
          <w:szCs w:val="24"/>
        </w:rPr>
        <w:t>. Given that a small sample size affects the performance of the model, the Dropout regularization technique was introduced in the model training process to limit the complexity of the model and enhance its generalization ability. Accuracy, precision, and F1 score, three metrics generally for classification tasks, were selected for assessing the TCM constitution identification model as well. Accuracy is the percentage of samples that are correctly predicted by the model out of all the samples.  Precision is the probability that all of the samples that are predicted to be positive are actually positive. F1 score is the harmonic mean of precision and recall. TP stands for true positive, TN for true negative, FP for false positive, and FN for false negative. The calculation formulas for these metrics are as follows.</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m:rPr>
            <m:sty m:val="p"/>
          </m:rPr>
          <w:rPr>
            <w:rFonts w:ascii="Cambria Math" w:hAnsi="Cambria Math"/>
          </w:rPr>
          <m:t>Accuracy</m:t>
        </m:r>
        <m:r>
          <w:rPr>
            <w:rFonts w:ascii="Cambria Math" w:hAnsi="Cambria Math"/>
          </w:rPr>
          <m:t>=</m:t>
        </m:r>
        <m:f>
          <m:fPr>
            <m:type m:val="bar"/>
          </m:fPr>
          <m:num>
            <m:r>
              <m:rPr>
                <m:sty m:val="p"/>
              </m:rPr>
              <w:rPr>
                <w:rFonts w:ascii="Cambria Math" w:hAnsi="Cambria Math"/>
              </w:rPr>
              <m:t>TP</m:t>
            </m:r>
            <m:r>
              <w:rPr>
                <w:rFonts w:ascii="Cambria Math" w:hAnsi="Cambria Math"/>
              </w:rPr>
              <m:t>+</m:t>
            </m:r>
            <m:r>
              <m:rPr>
                <m:sty m:val="p"/>
              </m:rPr>
              <w:rPr>
                <w:rFonts w:ascii="Cambria Math" w:hAnsi="Cambria Math"/>
              </w:rPr>
              <m:t>TN</m:t>
            </m:r>
          </m:num>
          <m:den>
            <m:r>
              <m:rPr>
                <m:sty m:val="p"/>
              </m:rPr>
              <w:rPr>
                <w:rFonts w:ascii="Cambria Math" w:hAnsi="Cambria Math"/>
              </w:rPr>
              <m:t>TP</m:t>
            </m:r>
            <m:r>
              <w:rPr>
                <w:rFonts w:ascii="Cambria Math" w:hAnsi="Cambria Math"/>
              </w:rPr>
              <m:t>+</m:t>
            </m:r>
            <m:r>
              <m:rPr>
                <m:sty m:val="p"/>
              </m:rPr>
              <w:rPr>
                <w:rFonts w:ascii="Cambria Math" w:hAnsi="Cambria Math"/>
              </w:rPr>
              <m:t>TN</m:t>
            </m:r>
            <m:r>
              <w:rPr>
                <w:rFonts w:ascii="Cambria Math" w:hAnsi="Cambria Math"/>
              </w:rPr>
              <m:t>+</m:t>
            </m:r>
            <m:r>
              <m:rPr>
                <m:sty m:val="p"/>
              </m:rPr>
              <w:rPr>
                <w:rFonts w:ascii="Cambria Math" w:hAnsi="Cambria Math"/>
              </w:rPr>
              <m:t>FP</m:t>
            </m:r>
            <m:r>
              <w:rPr>
                <w:rFonts w:ascii="Cambria Math" w:hAnsi="Cambria Math"/>
              </w:rPr>
              <m:t>+</m:t>
            </m:r>
            <m:r>
              <m:rPr>
                <m:sty m:val="p"/>
              </m:rPr>
              <w:rPr>
                <w:rFonts w:ascii="Cambria Math" w:hAnsi="Cambria Math"/>
              </w:rPr>
              <m:t>FN</m:t>
            </m:r>
          </m:den>
        </m:f>
      </m:oMath>
      <w:r>
        <w:tab/>
        <w:tab/>
        <w:tab/>
        <w:t>(16)</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m:rPr>
            <m:sty m:val="p"/>
          </m:rPr>
          <w:rPr>
            <w:rFonts w:ascii="Cambria Math" w:hAnsi="Cambria Math"/>
          </w:rPr>
          <m:t>Precision</m:t>
        </m:r>
        <m:r>
          <w:rPr>
            <w:rFonts w:ascii="Cambria Math" w:hAnsi="Cambria Math"/>
          </w:rPr>
          <m:t>=</m:t>
        </m:r>
        <m:f>
          <m:fPr>
            <m:type m:val="bar"/>
          </m:fPr>
          <m:num>
            <m:r>
              <m:rPr>
                <m:sty m:val="p"/>
              </m:rPr>
              <w:rPr>
                <w:rFonts w:ascii="Cambria Math" w:hAnsi="Cambria Math"/>
              </w:rPr>
              <m:t>TP</m:t>
            </m:r>
          </m:num>
          <m:den>
            <m:r>
              <m:rPr>
                <m:sty m:val="p"/>
              </m:rPr>
              <w:rPr>
                <w:rFonts w:ascii="Cambria Math" w:hAnsi="Cambria Math"/>
              </w:rPr>
              <m:t>TP</m:t>
            </m:r>
            <m:r>
              <w:rPr>
                <w:rFonts w:ascii="Cambria Math" w:hAnsi="Cambria Math"/>
              </w:rPr>
              <m:t>+</m:t>
            </m:r>
            <m:r>
              <m:rPr>
                <m:sty m:val="p"/>
              </m:rPr>
              <w:rPr>
                <w:rFonts w:ascii="Cambria Math" w:hAnsi="Cambria Math"/>
              </w:rPr>
              <m:t>FP</m:t>
            </m:r>
          </m:den>
        </m:f>
      </m:oMath>
      <w:r>
        <w:tab/>
        <w:tab/>
        <w:tab/>
        <w:t>(17)</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m:rPr>
            <m:sty m:val="p"/>
          </m:rPr>
          <w:rPr>
            <w:rFonts w:ascii="Cambria Math" w:hAnsi="Cambria Math"/>
          </w:rPr>
          <m:t>F</m:t>
        </m:r>
        <m:r>
          <w:rPr>
            <w:rFonts w:ascii="Cambria Math" w:hAnsi="Cambria Math"/>
          </w:rPr>
          <m:t>1=</m:t>
        </m:r>
        <m:r>
          <w:rPr>
            <w:rFonts w:ascii="Cambria Math" w:hAnsi="Cambria Math"/>
          </w:rPr>
          <m:t>2×</m:t>
        </m:r>
        <m:r>
          <w:rPr>
            <w:rFonts w:ascii="Cambria Math" w:hAnsi="Cambria Math"/>
          </w:rPr>
          <m:t>(</m:t>
        </m:r>
        <m:f>
          <m:fPr>
            <m:type m:val="bar"/>
          </m:fPr>
          <m:num>
            <m:r>
              <m:rPr>
                <m:sty m:val="p"/>
              </m:rPr>
              <w:rPr>
                <w:rFonts w:ascii="Cambria Math" w:hAnsi="Cambria Math"/>
              </w:rPr>
              <m:t>TP</m:t>
            </m:r>
          </m:num>
          <m:den>
            <m:r>
              <m:rPr>
                <m:sty m:val="p"/>
              </m:rPr>
              <w:rPr>
                <w:rFonts w:ascii="Cambria Math" w:hAnsi="Cambria Math"/>
              </w:rPr>
              <m:t>TP</m:t>
            </m:r>
            <m:r>
              <w:rPr>
                <w:rFonts w:ascii="Cambria Math" w:hAnsi="Cambria Math"/>
              </w:rPr>
              <m:t>+</m:t>
            </m:r>
            <m:r>
              <m:rPr>
                <m:sty m:val="p"/>
              </m:rPr>
              <w:rPr>
                <w:rFonts w:ascii="Cambria Math" w:hAnsi="Cambria Math"/>
              </w:rPr>
              <m:t>FP</m:t>
            </m:r>
          </m:den>
        </m:f>
        <m:r>
          <w:rPr>
            <w:rFonts w:ascii="Cambria Math" w:hAnsi="Cambria Math"/>
          </w:rPr>
          <m:t>×</m:t>
        </m:r>
        <m:f>
          <m:fPr>
            <m:type m:val="bar"/>
          </m:fPr>
          <m:num>
            <m:r>
              <m:rPr>
                <m:sty m:val="p"/>
              </m:rPr>
              <w:rPr>
                <w:rFonts w:ascii="Cambria Math" w:hAnsi="Cambria Math"/>
              </w:rPr>
              <m:t>TP</m:t>
            </m:r>
          </m:num>
          <m:den>
            <m:r>
              <m:rPr>
                <m:sty m:val="p"/>
              </m:rPr>
              <w:rPr>
                <w:rFonts w:ascii="Cambria Math" w:hAnsi="Cambria Math"/>
              </w:rPr>
              <m:t>TP</m:t>
            </m:r>
            <m:r>
              <w:rPr>
                <w:rFonts w:ascii="Cambria Math" w:hAnsi="Cambria Math"/>
              </w:rPr>
              <m:t>+</m:t>
            </m:r>
            <m:r>
              <m:rPr>
                <m:sty m:val="p"/>
              </m:rPr>
              <w:rPr>
                <w:rFonts w:ascii="Cambria Math" w:hAnsi="Cambria Math"/>
              </w:rPr>
              <m:t>FN</m:t>
            </m:r>
          </m:den>
        </m:f>
        <m:r>
          <w:rPr>
            <w:rFonts w:ascii="Cambria Math" w:hAnsi="Cambria Math"/>
          </w:rPr>
          <m:t>)</m:t>
        </m:r>
        <m:r>
          <w:rPr>
            <w:rFonts w:ascii="Cambria Math" w:hAnsi="Cambria Math"/>
          </w:rPr>
          <m:t>÷</m:t>
        </m:r>
        <m:r>
          <w:rPr>
            <w:rFonts w:ascii="Cambria Math" w:hAnsi="Cambria Math"/>
          </w:rPr>
          <m:t>(</m:t>
        </m:r>
        <m:f>
          <m:fPr>
            <m:type m:val="bar"/>
          </m:fPr>
          <m:num>
            <m:r>
              <m:rPr>
                <m:sty m:val="p"/>
              </m:rPr>
              <w:rPr>
                <w:rFonts w:ascii="Cambria Math" w:hAnsi="Cambria Math"/>
              </w:rPr>
              <m:t>TP</m:t>
            </m:r>
          </m:num>
          <m:den>
            <m:r>
              <m:rPr>
                <m:sty m:val="p"/>
              </m:rPr>
              <w:rPr>
                <w:rFonts w:ascii="Cambria Math" w:hAnsi="Cambria Math"/>
              </w:rPr>
              <m:t>TP</m:t>
            </m:r>
            <m:r>
              <w:rPr>
                <w:rFonts w:ascii="Cambria Math" w:hAnsi="Cambria Math"/>
              </w:rPr>
              <m:t>+</m:t>
            </m:r>
            <m:r>
              <m:rPr>
                <m:sty m:val="p"/>
              </m:rPr>
              <w:rPr>
                <w:rFonts w:ascii="Cambria Math" w:hAnsi="Cambria Math"/>
              </w:rPr>
              <m:t>FP</m:t>
            </m:r>
          </m:den>
        </m:f>
        <m:r>
          <w:rPr>
            <w:rFonts w:ascii="Cambria Math" w:hAnsi="Cambria Math"/>
          </w:rPr>
          <m:t>+</m:t>
        </m:r>
        <m:f>
          <m:fPr>
            <m:type m:val="bar"/>
          </m:fPr>
          <m:num>
            <m:r>
              <m:rPr>
                <m:sty m:val="p"/>
              </m:rPr>
              <w:rPr>
                <w:rFonts w:ascii="Cambria Math" w:hAnsi="Cambria Math"/>
              </w:rPr>
              <m:t>TP</m:t>
            </m:r>
          </m:num>
          <m:den>
            <m:r>
              <m:rPr>
                <m:sty m:val="p"/>
              </m:rPr>
              <w:rPr>
                <w:rFonts w:ascii="Cambria Math" w:hAnsi="Cambria Math"/>
              </w:rPr>
              <m:t>TP</m:t>
            </m:r>
            <m:r>
              <w:rPr>
                <w:rFonts w:ascii="Cambria Math" w:hAnsi="Cambria Math"/>
              </w:rPr>
              <m:t>+</m:t>
            </m:r>
            <m:r>
              <m:rPr>
                <m:sty m:val="p"/>
              </m:rPr>
              <w:rPr>
                <w:rFonts w:ascii="Cambria Math" w:hAnsi="Cambria Math"/>
              </w:rPr>
              <m:t>FN</m:t>
            </m:r>
          </m:den>
        </m:f>
        <m:r>
          <w:rPr>
            <w:rFonts w:ascii="Cambria Math" w:hAnsi="Cambria Math"/>
          </w:rPr>
          <m:t>)</m:t>
        </m:r>
      </m:oMath>
      <w:r>
        <w:tab/>
        <w:tab/>
        <w:tab/>
        <w:t>(18)</w:t>
      </w:r>
    </w:p>
    <w:p>
      <w:pPr>
        <w:spacing w:before="156" w:beforeLines="50" w:line="360" w:lineRule="auto"/>
        <w:jc w:val="left"/>
        <w:rPr>
          <w:rFonts w:ascii="Times New Roman" w:hAnsi="宋体"/>
          <w:sz w:val="24"/>
          <w:szCs w:val="24"/>
        </w:rPr>
      </w:pPr>
      <w:r>
        <w:rPr>
          <w:rFonts w:ascii="Times New Roman" w:hAnsi="宋体" w:hint="eastAsia"/>
          <w:b/>
          <w:sz w:val="26"/>
          <w:szCs w:val="32"/>
        </w:rPr>
        <w:t>4.2  Comparison of results from different identification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This paper has introduced four classification methods, which are RF </w:t>
      </w:r>
      <w:r>
        <w:rPr>
          <w:rFonts w:ascii="Times New Roman" w:hAnsi="宋体" w:hint="eastAsia"/>
          <w:sz w:val="24"/>
          <w:szCs w:val="24"/>
          <w:vertAlign w:val="superscript"/>
        </w:rPr>
        <w:t>[</w:t>
      </w:r>
      <w:r>
        <w:rPr>
          <w:rFonts w:ascii="Times New Roman" w:hAnsi="宋体" w:hint="eastAsia"/>
          <w:sz w:val="24"/>
          <w:szCs w:val="24"/>
          <w:vertAlign w:val="superscript"/>
        </w:rPr>
        <w:t>40</w:t>
      </w:r>
      <w:r>
        <w:rPr>
          <w:rFonts w:ascii="Times New Roman" w:hAnsi="宋体" w:hint="eastAsia"/>
          <w:sz w:val="24"/>
          <w:szCs w:val="24"/>
          <w:vertAlign w:val="superscript"/>
        </w:rPr>
        <w:t>]</w:t>
      </w:r>
      <w:r>
        <w:rPr>
          <w:rFonts w:ascii="Times New Roman" w:hAnsi="宋体" w:hint="eastAsia"/>
          <w:sz w:val="24"/>
          <w:szCs w:val="24"/>
        </w:rPr>
        <w:t xml:space="preserve">, MLP, KNN, and SVM, for analysis and comparison to select the best one for TCM constitution identification. The comparison among the four classification models is shown in </w:t>
      </w:r>
      <w:r>
        <w:rPr>
          <w:rFonts w:ascii="Times New Roman" w:hAnsi="宋体" w:hint="eastAsia"/>
          <w:sz w:val="24"/>
          <w:szCs w:val="24"/>
        </w:rPr>
        <w:t>Table 1</w:t>
      </w:r>
      <w:r>
        <w:rPr>
          <w:rFonts w:ascii="Times New Roman" w:hAnsi="宋体" w:hint="eastAsia"/>
          <w:sz w:val="24"/>
          <w:szCs w:val="24"/>
        </w:rPr>
        <w:t>. It is evident that RF has outperformed MLP, KNN, and SVM in terms of accuracy. RF’s accuracy rate has increased by 0.053, 0.131, and 0.052 compared with MLP, KNN, and SVM, respectively. Moreover, F1 score of RF is 0.014 and 0.06 higher than that of MLP and KNN, respectively, while showing similar performance to SVM in terms of F1 score. Based on these results, the RF algorithm was chosen as the optimal classification model for TCM constitution identification.</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 </w:t>
      </w:r>
      <w:r>
        <w:rPr>
          <w:rFonts w:ascii="Times New Roman" w:hAnsi="宋体" w:hint="eastAsia"/>
          <w:sz w:val="24"/>
          <w:szCs w:val="24"/>
        </w:rPr>
        <w:t xml:space="preserve"> Comparison among four classifiers in the classification of balanced and biased TCM constitutions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ID</w:t>
            </w:r>
          </w:p>
        </w:tc>
        <w:tc>
          <w:tcPr>
            <w:tcBorders>
              <w:top w:val="basicThinLines"/>
              <w:bottom w:val="basicThinLines"/>
            </w:tcBorders>
          </w:tcPr>
          <w:tcPr>
            <w:vAlign w:val="center"/>
          </w:tcPr>
          <w:p>
            <w:pPr>
              <w:jc w:val="center"/>
            </w:pPr>
            <w:r/>
            <w:r>
              <w:rPr xsi:nil="true">
                <w:b w:val="true"/>
              </w:rPr>
              <w:t>Classifier</w:t>
            </w:r>
          </w:p>
        </w:tc>
        <w:tc>
          <w:tcPr>
            <w:tcBorders>
              <w:top w:val="basicThinLines"/>
              <w:bottom w:val="basicThinLines"/>
            </w:tcBorders>
          </w:tcPr>
          <w:tcPr>
            <w:vAlign w:val="center"/>
          </w:tcPr>
          <w:p>
            <w:pPr>
              <w:jc w:val="center"/>
            </w:pPr>
            <w:r/>
            <w:r>
              <w:rPr xsi:nil="true">
                <w:b w:val="true"/>
              </w:rPr>
              <w:t>Accuracy</w:t>
            </w:r>
          </w:p>
        </w:tc>
        <w:tc>
          <w:tcPr>
            <w:tcBorders>
              <w:top w:val="basicThinLines"/>
              <w:bottom w:val="basicThinLines"/>
            </w:tcBorders>
          </w:tcPr>
          <w:tcPr>
            <w:vAlign w:val="center"/>
          </w:tcPr>
          <w:p>
            <w:pPr>
              <w:jc w:val="center"/>
            </w:pPr>
            <w:r/>
            <w:r>
              <w:rPr xsi:nil="true">
                <w:b w:val="true"/>
              </w:rPr>
              <w:t>Precision</w:t>
            </w:r>
          </w:p>
        </w:tc>
        <w:tc>
          <w:tcPr>
            <w:tcBorders>
              <w:top w:val="basicThinLines"/>
              <w:bottom w:val="basicThinLines"/>
            </w:tcBorders>
          </w:tcPr>
          <w:tcPr>
            <w:vAlign w:val="center"/>
          </w:tcPr>
          <w:p>
            <w:pPr>
              <w:jc w:val="center"/>
            </w:pPr>
            <w:r/>
            <w:r>
              <w:rPr xsi:nil="true">
                <w:b w:val="true"/>
              </w:rPr>
              <w:t>F1 score</w:t>
            </w:r>
          </w:p>
        </w:tc>
      </w:tr>
      <w:tr>
        <w:tc>
          <w:tcPr>
            <w:tcBorders/>
          </w:tcPr>
          <w:tcPr>
            <w:vAlign w:val="center"/>
          </w:tcPr>
          <w:p>
            <w:pPr>
              <w:jc w:val="center"/>
            </w:pPr>
            <w:r/>
            <w:r>
              <w:rPr xsi:nil="true"/>
              <w:t>1</w:t>
            </w:r>
          </w:p>
        </w:tc>
        <w:tc>
          <w:tcPr>
            <w:tcBorders/>
          </w:tcPr>
          <w:tcPr>
            <w:vAlign w:val="center"/>
          </w:tcPr>
          <w:p>
            <w:pPr>
              <w:jc w:val="left"/>
            </w:pPr>
            <w:r/>
            <w:r>
              <w:rPr xsi:nil="true"/>
              <w:t>RF</w:t>
            </w:r>
          </w:p>
        </w:tc>
        <w:tc>
          <w:tcPr>
            <w:tcBorders/>
          </w:tcPr>
          <w:tcPr>
            <w:vAlign w:val="center"/>
          </w:tcPr>
          <w:p>
            <w:pPr>
              <w:jc w:val="center"/>
            </w:pPr>
            <w:r/>
            <w:r>
              <w:rPr xsi:nil="true"/>
              <w:t>0.842</w:t>
            </w:r>
          </w:p>
        </w:tc>
        <w:tc>
          <w:tcPr>
            <w:tcBorders/>
          </w:tcPr>
          <w:tcPr>
            <w:vAlign w:val="center"/>
          </w:tcPr>
          <w:p>
            <w:pPr>
              <w:jc w:val="center"/>
            </w:pPr>
            <w:r/>
            <w:r>
              <w:rPr xsi:nil="true"/>
              <w:t>0.868</w:t>
            </w:r>
          </w:p>
        </w:tc>
        <w:tc>
          <w:tcPr>
            <w:tcBorders/>
          </w:tcPr>
          <w:tcPr>
            <w:vAlign w:val="center"/>
          </w:tcPr>
          <w:p>
            <w:pPr>
              <w:jc w:val="center"/>
            </w:pPr>
            <w:r/>
            <w:r>
              <w:rPr xsi:nil="true"/>
              <w:t>0.789</w:t>
            </w:r>
          </w:p>
        </w:tc>
      </w:tr>
      <w:tr>
        <w:tc>
          <w:tcPr>
            <w:tcBorders/>
          </w:tcPr>
          <w:tcPr>
            <w:vAlign w:val="center"/>
          </w:tcPr>
          <w:p>
            <w:pPr>
              <w:jc w:val="center"/>
            </w:pPr>
            <w:r/>
            <w:r>
              <w:rPr xsi:nil="true"/>
              <w:t>2</w:t>
            </w:r>
          </w:p>
        </w:tc>
        <w:tc>
          <w:tcPr>
            <w:tcBorders/>
          </w:tcPr>
          <w:tcPr>
            <w:vAlign w:val="center"/>
          </w:tcPr>
          <w:p>
            <w:pPr>
              <w:jc w:val="left"/>
            </w:pPr>
            <w:r/>
            <w:r>
              <w:rPr xsi:nil="true"/>
              <w:t>MLP</w:t>
            </w:r>
          </w:p>
        </w:tc>
        <w:tc>
          <w:tcPr>
            <w:tcBorders/>
          </w:tcPr>
          <w:tcPr>
            <w:vAlign w:val="center"/>
          </w:tcPr>
          <w:p>
            <w:pPr>
              <w:jc w:val="center"/>
            </w:pPr>
            <w:r/>
            <w:r>
              <w:rPr xsi:nil="true"/>
              <w:t>0.789</w:t>
            </w:r>
          </w:p>
        </w:tc>
        <w:tc>
          <w:tcPr>
            <w:tcBorders/>
          </w:tcPr>
          <w:tcPr>
            <w:vAlign w:val="center"/>
          </w:tcPr>
          <w:p>
            <w:pPr>
              <w:jc w:val="center"/>
            </w:pPr>
            <w:r/>
            <w:r>
              <w:rPr xsi:nil="true"/>
              <w:t>0.766</w:t>
            </w:r>
          </w:p>
        </w:tc>
        <w:tc>
          <w:tcPr>
            <w:tcBorders/>
          </w:tcPr>
          <w:tcPr>
            <w:vAlign w:val="center"/>
          </w:tcPr>
          <w:p>
            <w:pPr>
              <w:jc w:val="center"/>
            </w:pPr>
            <w:r/>
            <w:r>
              <w:rPr xsi:nil="true"/>
              <w:t>0.775</w:t>
            </w:r>
          </w:p>
        </w:tc>
      </w:tr>
      <w:tr>
        <w:tc>
          <w:tcPr>
            <w:tcBorders/>
          </w:tcPr>
          <w:tcPr>
            <w:vAlign w:val="center"/>
          </w:tcPr>
          <w:p>
            <w:pPr>
              <w:jc w:val="center"/>
            </w:pPr>
            <w:r/>
            <w:r>
              <w:rPr xsi:nil="true"/>
              <w:t>3</w:t>
            </w:r>
          </w:p>
        </w:tc>
        <w:tc>
          <w:tcPr>
            <w:tcBorders/>
          </w:tcPr>
          <w:tcPr>
            <w:vAlign w:val="center"/>
          </w:tcPr>
          <w:p>
            <w:pPr>
              <w:jc w:val="left"/>
            </w:pPr>
            <w:r/>
            <w:r>
              <w:rPr xsi:nil="true"/>
              <w:t>KNN</w:t>
            </w:r>
          </w:p>
        </w:tc>
        <w:tc>
          <w:tcPr>
            <w:tcBorders/>
          </w:tcPr>
          <w:tcPr>
            <w:vAlign w:val="center"/>
          </w:tcPr>
          <w:p>
            <w:pPr>
              <w:jc w:val="center"/>
            </w:pPr>
            <w:r/>
            <w:r>
              <w:rPr xsi:nil="true"/>
              <w:t>0.711</w:t>
            </w:r>
          </w:p>
        </w:tc>
        <w:tc>
          <w:tcPr>
            <w:tcBorders/>
          </w:tcPr>
          <w:tcPr>
            <w:vAlign w:val="center"/>
          </w:tcPr>
          <w:p>
            <w:pPr>
              <w:jc w:val="center"/>
            </w:pPr>
            <w:r/>
            <w:r>
              <w:rPr xsi:nil="true"/>
              <w:t>0.755</w:t>
            </w:r>
          </w:p>
        </w:tc>
        <w:tc>
          <w:tcPr>
            <w:tcBorders/>
          </w:tcPr>
          <w:tcPr>
            <w:vAlign w:val="center"/>
          </w:tcPr>
          <w:p>
            <w:pPr>
              <w:jc w:val="center"/>
            </w:pPr>
            <w:r/>
            <w:r>
              <w:rPr xsi:nil="true"/>
              <w:t>0.729</w:t>
            </w:r>
          </w:p>
        </w:tc>
      </w:tr>
      <w:tr>
        <w:tc>
          <w:tcPr>
            <w:tcBorders>
              <w:bottom w:val="basicThinLines"/>
            </w:tcBorders>
          </w:tcPr>
          <w:tcPr>
            <w:vAlign w:val="center"/>
          </w:tcPr>
          <w:p>
            <w:pPr>
              <w:jc w:val="center"/>
            </w:pPr>
            <w:r/>
            <w:r>
              <w:rPr xsi:nil="true"/>
              <w:t>4</w:t>
            </w:r>
          </w:p>
        </w:tc>
        <w:tc>
          <w:tcPr>
            <w:tcBorders>
              <w:bottom w:val="basicThinLines"/>
            </w:tcBorders>
          </w:tcPr>
          <w:tcPr>
            <w:vAlign w:val="center"/>
          </w:tcPr>
          <w:p>
            <w:pPr>
              <w:jc w:val="left"/>
            </w:pPr>
            <w:r/>
            <w:r>
              <w:rPr xsi:nil="true"/>
              <w:t>SVM</w:t>
            </w:r>
          </w:p>
        </w:tc>
        <w:tc>
          <w:tcPr>
            <w:tcBorders>
              <w:bottom w:val="basicThinLines"/>
            </w:tcBorders>
          </w:tcPr>
          <w:tcPr>
            <w:vAlign w:val="center"/>
          </w:tcPr>
          <w:p>
            <w:pPr>
              <w:jc w:val="center"/>
            </w:pPr>
            <w:r/>
            <w:r>
              <w:rPr xsi:nil="true"/>
              <w:t>0.790</w:t>
            </w:r>
          </w:p>
        </w:tc>
        <w:tc>
          <w:tcPr>
            <w:tcBorders>
              <w:bottom w:val="basicThinLines"/>
            </w:tcBorders>
          </w:tcPr>
          <w:tcPr>
            <w:vAlign w:val="center"/>
          </w:tcPr>
          <w:p>
            <w:pPr>
              <w:jc w:val="center"/>
            </w:pPr>
            <w:r/>
            <w:r>
              <w:rPr xsi:nil="true"/>
              <w:t>0.790</w:t>
            </w:r>
          </w:p>
        </w:tc>
        <w:tc>
          <w:tcPr>
            <w:tcBorders>
              <w:bottom w:val="basicThinLines"/>
            </w:tcBorders>
          </w:tcPr>
          <w:tcPr>
            <w:vAlign w:val="center"/>
          </w:tcPr>
          <w:p>
            <w:pPr>
              <w:jc w:val="center"/>
            </w:pPr>
            <w:r/>
            <w:r>
              <w:rPr xsi:nil="true"/>
              <w:t>0.790</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4.3  Impacts of different YOLO versions on model performance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Currently, there are many versions of YOLO object detection algorithm. YOLOv5 algorithm has excellent performance and is applied in many practical scenarios, based on which YOLOv8 was introduced in 2023. Different YOLO versions may have different effects on the experimental results. Therefore, this paper analyzed and compared the ability to detect objects in the full-body standing images with YOLOv5 and YOLOv8 (</w:t>
      </w:r>
      <w:r>
        <w:rPr>
          <w:rFonts w:ascii="Times New Roman" w:hAnsi="宋体" w:hint="eastAsia"/>
          <w:sz w:val="24"/>
          <w:szCs w:val="24"/>
        </w:rPr>
        <w:t>Figure 9</w:t>
      </w:r>
      <w:r>
        <w:rPr>
          <w:rFonts w:ascii="Times New Roman" w:hAnsi="宋体" w:hint="eastAsia"/>
          <w:sz w:val="24"/>
          <w:szCs w:val="24"/>
        </w:rPr>
        <w:t>). The results of YOLOv5 for object detection in full-body standing images are exactly the same as those of YOLOv8, with the accuracy, precision, and F1 score being 0.842, 0.868, and 0.790, respectively. The YOLO algorithms do not affect the extraction of the HSV color features, as they are capable of acquiring complete facial images.</w:t>
      </w:r>
    </w:p>
    <w:p>
      <w:pPr>
        <w:spacing w:before="200" w:after="100"/>
        <w:jc w:val="center"/>
      </w:pPr>
      <w:r>
        <w:drawing>
          <wp:inline distT="0" distR="0" distB="0" distL="0">
            <wp:extent cx="2736342" cy="1310259"/>
            <wp:docPr id="8" name="Drawing 8" descr="hukongfa-9.jpg"/>
            <a:graphic xmlns:a="http://schemas.openxmlformats.org/drawingml/2006/main">
              <a:graphicData uri="http://schemas.openxmlformats.org/drawingml/2006/picture">
                <pic:pic xmlns:pic="http://schemas.openxmlformats.org/drawingml/2006/picture">
                  <pic:nvPicPr>
                    <pic:cNvPr id="0" name="Picture 8" descr="hukongfa-9.jpg"/>
                    <pic:cNvPicPr>
                      <a:picLocks noChangeAspect="true"/>
                    </pic:cNvPicPr>
                  </pic:nvPicPr>
                  <pic:blipFill>
                    <a:blip r:embed="rId17"/>
                    <a:stretch>
                      <a:fillRect/>
                    </a:stretch>
                  </pic:blipFill>
                  <pic:spPr>
                    <a:xfrm>
                      <a:off x="0" y="0"/>
                      <a:ext cx="2736342" cy="1310259"/>
                    </a:xfrm>
                    <a:prstGeom prst="rect">
                      <a:avLst/>
                    </a:prstGeom>
                  </pic:spPr>
                </pic:pic>
              </a:graphicData>
            </a:graphic>
          </wp:inline>
        </w:drawing>
      </w:r>
    </w:p>
    <w:p>
      <w:pPr>
        <w:spacing w:after="200"/>
        <w:jc w:val="center"/>
      </w:pPr>
      <w:r>
        <w:rPr>
          <w:b w:val="true"/>
        </w:rPr>
        <w:t xml:space="preserve">Fig. 9  </w:t>
      </w:r>
      <w:r>
        <w:rPr>
          <w:b w:val="true"/>
        </w:rPr>
        <w:t>Comparison of the performance between YOLOv5 and YOLOv8</w:t>
      </w:r>
    </w:p>
    <w:p>
      <w:pPr>
        <w:spacing w:before="156" w:beforeLines="50" w:line="360" w:lineRule="auto"/>
        <w:jc w:val="left"/>
        <w:rPr>
          <w:rFonts w:ascii="Times New Roman" w:hAnsi="宋体"/>
          <w:sz w:val="24"/>
          <w:szCs w:val="24"/>
        </w:rPr>
      </w:pPr>
      <w:r>
        <w:rPr>
          <w:rFonts w:ascii="Times New Roman" w:hAnsi="宋体" w:hint="eastAsia"/>
          <w:b/>
          <w:sz w:val="26"/>
          <w:szCs w:val="32"/>
        </w:rPr>
        <w:t>4.4  Comparison of the performance in identifying body shape features between regular LBP and improved LBP</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validate the effectiveness of the improved LBP in recognizing body shape features, this paper compared the identification performance of regular LBP and improved LBP with the same dataset. As illustrated in </w:t>
      </w:r>
      <w:r>
        <w:rPr>
          <w:rFonts w:ascii="Times New Roman" w:hAnsi="宋体" w:hint="eastAsia"/>
          <w:sz w:val="24"/>
          <w:szCs w:val="24"/>
        </w:rPr>
        <w:t>Figure 10</w:t>
      </w:r>
      <w:r>
        <w:rPr>
          <w:rFonts w:ascii="Times New Roman" w:hAnsi="宋体" w:hint="eastAsia"/>
          <w:sz w:val="24"/>
          <w:szCs w:val="24"/>
        </w:rPr>
        <w:t>, the improved LBP has demonstrated enhanced feature extraction capabilities compared with the regular LBP method. The accuracy, precision, and F1 score of the improved LBP increased by 0.053, 0.207, and 0.070, respectively, when compared with those of regular LBP. These results indicate that the improved LBP is more effective in extracting the body shape features.</w:t>
      </w:r>
    </w:p>
    <w:p>
      <w:pPr>
        <w:spacing w:before="200" w:after="100"/>
        <w:jc w:val="center"/>
      </w:pPr>
      <w:r>
        <w:drawing>
          <wp:inline distT="0" distR="0" distB="0" distL="0">
            <wp:extent cx="2736342" cy="1078611"/>
            <wp:docPr id="9" name="Drawing 9" descr="hukongfa-10.jpg"/>
            <a:graphic xmlns:a="http://schemas.openxmlformats.org/drawingml/2006/main">
              <a:graphicData uri="http://schemas.openxmlformats.org/drawingml/2006/picture">
                <pic:pic xmlns:pic="http://schemas.openxmlformats.org/drawingml/2006/picture">
                  <pic:nvPicPr>
                    <pic:cNvPr id="0" name="Picture 9" descr="hukongfa-10.jpg"/>
                    <pic:cNvPicPr>
                      <a:picLocks noChangeAspect="true"/>
                    </pic:cNvPicPr>
                  </pic:nvPicPr>
                  <pic:blipFill>
                    <a:blip r:embed="rId18"/>
                    <a:stretch>
                      <a:fillRect/>
                    </a:stretch>
                  </pic:blipFill>
                  <pic:spPr>
                    <a:xfrm>
                      <a:off x="0" y="0"/>
                      <a:ext cx="2736342" cy="1078611"/>
                    </a:xfrm>
                    <a:prstGeom prst="rect">
                      <a:avLst/>
                    </a:prstGeom>
                  </pic:spPr>
                </pic:pic>
              </a:graphicData>
            </a:graphic>
          </wp:inline>
        </w:drawing>
      </w:r>
    </w:p>
    <w:p>
      <w:pPr>
        <w:spacing w:after="200"/>
        <w:jc w:val="center"/>
      </w:pPr>
      <w:r>
        <w:rPr>
          <w:b w:val="true"/>
        </w:rPr>
        <w:t xml:space="preserve">Fig. 10  </w:t>
      </w:r>
      <w:r>
        <w:rPr>
          <w:b w:val="true"/>
        </w:rPr>
        <w:t>Comparison of identification performance between regular LBP and improved LBP in terms of identifying body shape features</w:t>
      </w:r>
    </w:p>
    <w:p>
      <w:pPr>
        <w:spacing w:before="156" w:beforeLines="50" w:line="360" w:lineRule="auto"/>
        <w:jc w:val="left"/>
        <w:rPr>
          <w:rFonts w:ascii="Times New Roman" w:hAnsi="宋体"/>
          <w:sz w:val="24"/>
          <w:szCs w:val="24"/>
        </w:rPr>
      </w:pPr>
      <w:r>
        <w:rPr>
          <w:rFonts w:ascii="Times New Roman" w:hAnsi="宋体" w:hint="eastAsia"/>
          <w:b/>
          <w:sz w:val="26"/>
          <w:szCs w:val="32"/>
        </w:rPr>
        <w:t>4.5  Comparison of the performance in identifying deep features between CResNet-ST and Swin Transformer</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validate the effectiveness of the CResNet-ST introduced in this paper for identifying deep features, a performance comparison was made between CResNet-ST and Swin Transformer using the same dataset. As depicted in </w:t>
      </w:r>
      <w:r>
        <w:rPr>
          <w:rFonts w:ascii="Times New Roman" w:hAnsi="宋体" w:hint="eastAsia"/>
          <w:sz w:val="24"/>
          <w:szCs w:val="24"/>
        </w:rPr>
        <w:t>Figure 11</w:t>
      </w:r>
      <w:r>
        <w:rPr>
          <w:rFonts w:ascii="Times New Roman" w:hAnsi="宋体" w:hint="eastAsia"/>
          <w:sz w:val="24"/>
          <w:szCs w:val="24"/>
        </w:rPr>
        <w:t>, CResNet-ST showed improvements in accuracy, precision, and F1 score compared with those based on Swin Transformer features. Specifically, the accuracy, precision, and F1 score increased by 0.053, 0.102, and 0.015, respectively.</w:t>
      </w:r>
    </w:p>
    <w:p>
      <w:pPr>
        <w:spacing w:before="200" w:after="100"/>
        <w:jc w:val="center"/>
      </w:pPr>
      <w:r>
        <w:drawing>
          <wp:inline distT="0" distR="0" distB="0" distL="0">
            <wp:extent cx="2736342" cy="1259586"/>
            <wp:docPr id="10" name="Drawing 10" descr="hukongfa-11.jpg"/>
            <a:graphic xmlns:a="http://schemas.openxmlformats.org/drawingml/2006/main">
              <a:graphicData uri="http://schemas.openxmlformats.org/drawingml/2006/picture">
                <pic:pic xmlns:pic="http://schemas.openxmlformats.org/drawingml/2006/picture">
                  <pic:nvPicPr>
                    <pic:cNvPr id="0" name="Picture 10" descr="hukongfa-11.jpg"/>
                    <pic:cNvPicPr>
                      <a:picLocks noChangeAspect="true"/>
                    </pic:cNvPicPr>
                  </pic:nvPicPr>
                  <pic:blipFill>
                    <a:blip r:embed="rId19"/>
                    <a:stretch>
                      <a:fillRect/>
                    </a:stretch>
                  </pic:blipFill>
                  <pic:spPr>
                    <a:xfrm>
                      <a:off x="0" y="0"/>
                      <a:ext cx="2736342" cy="1259586"/>
                    </a:xfrm>
                    <a:prstGeom prst="rect">
                      <a:avLst/>
                    </a:prstGeom>
                  </pic:spPr>
                </pic:pic>
              </a:graphicData>
            </a:graphic>
          </wp:inline>
        </w:drawing>
      </w:r>
    </w:p>
    <w:p>
      <w:pPr>
        <w:spacing w:after="200"/>
        <w:jc w:val="center"/>
      </w:pPr>
      <w:r>
        <w:rPr>
          <w:b w:val="true"/>
        </w:rPr>
        <w:t xml:space="preserve">Fig. 11  </w:t>
      </w:r>
      <w:r>
        <w:rPr>
          <w:b w:val="true"/>
        </w:rPr>
        <w:t>Comparison of the performance in identifying deep features between CResNet-ST and Swin Transformer</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further assess the capability of CResNet-ST in extracting deep features, a performance comparison was made again between CResNet-ST and Swin Transformer using the CIFAR-10 public dataset </w:t>
      </w:r>
      <w:r>
        <w:rPr>
          <w:rFonts w:ascii="Times New Roman" w:hAnsi="宋体" w:hint="eastAsia"/>
          <w:sz w:val="24"/>
          <w:szCs w:val="24"/>
          <w:vertAlign w:val="superscript"/>
        </w:rPr>
        <w:t>[</w:t>
      </w:r>
      <w:r>
        <w:rPr>
          <w:rFonts w:ascii="Times New Roman" w:hAnsi="宋体" w:hint="eastAsia"/>
          <w:sz w:val="24"/>
          <w:szCs w:val="24"/>
          <w:vertAlign w:val="superscript"/>
        </w:rPr>
        <w:t>41</w:t>
      </w:r>
      <w:r>
        <w:rPr>
          <w:rFonts w:ascii="Times New Roman" w:hAnsi="宋体" w:hint="eastAsia"/>
          <w:sz w:val="24"/>
          <w:szCs w:val="24"/>
          <w:vertAlign w:val="superscript"/>
        </w:rPr>
        <w:t>]</w:t>
      </w:r>
      <w:r>
        <w:rPr>
          <w:rFonts w:ascii="Times New Roman" w:hAnsi="宋体" w:hint="eastAsia"/>
          <w:sz w:val="24"/>
          <w:szCs w:val="24"/>
        </w:rPr>
        <w:t xml:space="preserve">. The network parameters were optimized by Adam optimizer </w:t>
      </w:r>
      <w:r>
        <w:rPr>
          <w:rFonts w:ascii="Times New Roman" w:hAnsi="宋体" w:hint="eastAsia"/>
          <w:sz w:val="24"/>
          <w:szCs w:val="24"/>
          <w:vertAlign w:val="superscript"/>
        </w:rPr>
        <w:t>[</w:t>
      </w:r>
      <w:r>
        <w:rPr>
          <w:rFonts w:ascii="Times New Roman" w:hAnsi="宋体" w:hint="eastAsia"/>
          <w:sz w:val="24"/>
          <w:szCs w:val="24"/>
          <w:vertAlign w:val="superscript"/>
        </w:rPr>
        <w:t>42</w:t>
      </w:r>
      <w:r>
        <w:rPr>
          <w:rFonts w:ascii="Times New Roman" w:hAnsi="宋体" w:hint="eastAsia"/>
          <w:sz w:val="24"/>
          <w:szCs w:val="24"/>
          <w:vertAlign w:val="superscript"/>
        </w:rPr>
        <w:t>]</w:t>
      </w:r>
      <w:r>
        <w:rPr>
          <w:rFonts w:ascii="Times New Roman" w:hAnsi="宋体" w:hint="eastAsia"/>
          <w:sz w:val="24"/>
          <w:szCs w:val="24"/>
        </w:rPr>
        <w:t xml:space="preserve"> with a learning rate of </w:t>
      </w:r>
      <w:r>
        <w:rPr>
          <w:rFonts w:ascii="Times New Roman" w:hAnsi="宋体" w:hint="eastAsia"/>
          <w:sz w:val="24"/>
          <w:szCs w:val="24"/>
        </w:rPr>
        <w:t>0.0001</w:t>
      </w:r>
      <w:r>
        <w:rPr>
          <w:rFonts w:ascii="Times New Roman" w:hAnsi="宋体" w:hint="eastAsia"/>
          <w:sz w:val="24"/>
          <w:szCs w:val="24"/>
        </w:rPr>
        <w:t xml:space="preserve">, a batch size of 32, and a weight decay of 0.05. As observed in </w:t>
      </w:r>
      <w:r>
        <w:rPr>
          <w:rFonts w:ascii="Times New Roman" w:hAnsi="宋体" w:hint="eastAsia"/>
          <w:sz w:val="24"/>
          <w:szCs w:val="24"/>
        </w:rPr>
        <w:t>Figure 12</w:t>
      </w:r>
      <w:r>
        <w:rPr>
          <w:rFonts w:ascii="Times New Roman" w:hAnsi="宋体" w:hint="eastAsia"/>
          <w:sz w:val="24"/>
          <w:szCs w:val="24"/>
        </w:rPr>
        <w:t xml:space="preserve">, CResNet-ST demonstrated easier convergence compared to Swin Transformer. The training and testing accuracies of CResNet-ST and Swin Transformer are summarized in </w:t>
      </w:r>
      <w:r>
        <w:rPr>
          <w:rFonts w:ascii="Times New Roman" w:hAnsi="宋体" w:hint="eastAsia"/>
          <w:sz w:val="24"/>
          <w:szCs w:val="24"/>
        </w:rPr>
        <w:t>Table 2</w:t>
      </w:r>
      <w:r>
        <w:rPr>
          <w:rFonts w:ascii="Times New Roman" w:hAnsi="宋体" w:hint="eastAsia"/>
          <w:sz w:val="24"/>
          <w:szCs w:val="24"/>
        </w:rPr>
        <w:t>. The results showed that CResNet-ST outperformed Swin Transformer in terms of training accuracy and testing accuracy, with improvements of 0.025 and 0.113, respectively. These findings indicate that CResNet-ST is more effective at extracting deep features.</w:t>
      </w:r>
    </w:p>
    <w:p>
      <w:pPr>
        <w:spacing w:before="200" w:after="100"/>
        <w:jc w:val="center"/>
      </w:pPr>
      <w:r>
        <w:drawing>
          <wp:inline distT="0" distR="0" distB="0" distL="0">
            <wp:extent cx="2736342" cy="1243660"/>
            <wp:docPr id="11" name="Drawing 11" descr="hukongfa-12.jpg"/>
            <a:graphic xmlns:a="http://schemas.openxmlformats.org/drawingml/2006/main">
              <a:graphicData uri="http://schemas.openxmlformats.org/drawingml/2006/picture">
                <pic:pic xmlns:pic="http://schemas.openxmlformats.org/drawingml/2006/picture">
                  <pic:nvPicPr>
                    <pic:cNvPr id="0" name="Picture 11" descr="hukongfa-12.jpg"/>
                    <pic:cNvPicPr>
                      <a:picLocks noChangeAspect="true"/>
                    </pic:cNvPicPr>
                  </pic:nvPicPr>
                  <pic:blipFill>
                    <a:blip r:embed="rId20"/>
                    <a:stretch>
                      <a:fillRect/>
                    </a:stretch>
                  </pic:blipFill>
                  <pic:spPr>
                    <a:xfrm>
                      <a:off x="0" y="0"/>
                      <a:ext cx="2736342" cy="1243660"/>
                    </a:xfrm>
                    <a:prstGeom prst="rect">
                      <a:avLst/>
                    </a:prstGeom>
                  </pic:spPr>
                </pic:pic>
              </a:graphicData>
            </a:graphic>
          </wp:inline>
        </w:drawing>
      </w:r>
    </w:p>
    <w:p>
      <w:pPr>
        <w:spacing w:after="200"/>
        <w:jc w:val="center"/>
      </w:pPr>
      <w:r>
        <w:rPr>
          <w:b w:val="true"/>
        </w:rPr>
        <w:t xml:space="preserve">Fig. 12  </w:t>
      </w:r>
      <w:r>
        <w:rPr>
          <w:b w:val="true"/>
        </w:rPr>
        <w:t>Comparison of the performance of CResNet-ST and Swin Transformer using the CIFAR-10 public dataset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2 </w:t>
      </w:r>
      <w:r>
        <w:rPr>
          <w:rFonts w:ascii="Times New Roman" w:hAnsi="宋体" w:hint="eastAsia"/>
          <w:sz w:val="24"/>
          <w:szCs w:val="24"/>
        </w:rPr>
        <w:t xml:space="preserve"> The training and testing accuracy of Swin Transformer and CResNet-ST</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Model</w:t>
            </w:r>
          </w:p>
        </w:tc>
        <w:tc>
          <w:tcPr>
            <w:tcBorders>
              <w:top w:val="basicThinLines"/>
              <w:bottom w:val="basicThinLines"/>
            </w:tcBorders>
          </w:tcPr>
          <w:tcPr>
            <w:vAlign w:val="center"/>
          </w:tcPr>
          <w:p>
            <w:pPr>
              <w:jc w:val="center"/>
            </w:pPr>
            <w:r/>
            <w:r>
              <w:rPr xsi:nil="true">
                <w:b w:val="true"/>
              </w:rPr>
              <w:t>Training accuracy</w:t>
            </w:r>
          </w:p>
        </w:tc>
        <w:tc>
          <w:tcPr>
            <w:tcBorders>
              <w:top w:val="basicThinLines"/>
              <w:bottom w:val="basicThinLines"/>
            </w:tcBorders>
          </w:tcPr>
          <w:tcPr>
            <w:vAlign w:val="center"/>
          </w:tcPr>
          <w:p>
            <w:pPr>
              <w:jc w:val="center"/>
            </w:pPr>
            <w:r/>
            <w:r>
              <w:rPr xsi:nil="true">
                <w:b w:val="true"/>
              </w:rPr>
              <w:t>Testing accuracy</w:t>
            </w:r>
          </w:p>
        </w:tc>
      </w:tr>
      <w:tr>
        <w:tc>
          <w:tcPr>
            <w:tcBorders/>
          </w:tcPr>
          <w:tcPr>
            <w:vAlign w:val="center"/>
          </w:tcPr>
          <w:p>
            <w:pPr>
              <w:jc w:val="left"/>
            </w:pPr>
            <w:r/>
            <w:r>
              <w:rPr xsi:nil="true"/>
              <w:t>Swin Transformer</w:t>
            </w:r>
          </w:p>
        </w:tc>
        <w:tc>
          <w:tcPr>
            <w:tcBorders/>
          </w:tcPr>
          <w:tcPr>
            <w:vAlign w:val="center"/>
          </w:tcPr>
          <w:p>
            <w:pPr>
              <w:jc w:val="center"/>
            </w:pPr>
            <w:r/>
            <w:r>
              <w:rPr xsi:nil="true"/>
              <w:t>0.963</w:t>
            </w:r>
          </w:p>
        </w:tc>
        <w:tc>
          <w:tcPr>
            <w:tcBorders/>
          </w:tcPr>
          <w:tcPr>
            <w:vAlign w:val="center"/>
          </w:tcPr>
          <w:p>
            <w:pPr>
              <w:jc w:val="center"/>
            </w:pPr>
            <w:r/>
            <w:r>
              <w:rPr xsi:nil="true"/>
              <w:t>0.813</w:t>
            </w:r>
          </w:p>
        </w:tc>
      </w:tr>
      <w:tr>
        <w:tc>
          <w:tcPr>
            <w:tcBorders>
              <w:bottom w:val="basicThinLines"/>
            </w:tcBorders>
          </w:tcPr>
          <w:tcPr>
            <w:vAlign w:val="center"/>
          </w:tcPr>
          <w:p>
            <w:pPr>
              <w:jc w:val="left"/>
            </w:pPr>
            <w:r/>
            <w:r>
              <w:rPr xsi:nil="true"/>
              <w:t>CResNet-ST</w:t>
            </w:r>
          </w:p>
        </w:tc>
        <w:tc>
          <w:tcPr>
            <w:tcBorders>
              <w:bottom w:val="basicThinLines"/>
            </w:tcBorders>
          </w:tcPr>
          <w:tcPr>
            <w:vAlign w:val="center"/>
          </w:tcPr>
          <w:p>
            <w:pPr>
              <w:jc w:val="center"/>
            </w:pPr>
            <w:r/>
            <w:r>
              <w:rPr xsi:nil="true"/>
              <w:t>0.988</w:t>
            </w:r>
          </w:p>
        </w:tc>
        <w:tc>
          <w:tcPr>
            <w:tcBorders>
              <w:bottom w:val="basicThinLines"/>
            </w:tcBorders>
          </w:tcPr>
          <w:tcPr>
            <w:vAlign w:val="center"/>
          </w:tcPr>
          <w:p>
            <w:pPr>
              <w:jc w:val="center"/>
            </w:pPr>
            <w:r/>
            <w:r>
              <w:rPr xsi:nil="true"/>
              <w:t>0.926</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4.6  The efficiency of the models based on multi-features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validate the efficiency of the models based on multi-features, the accuracy, precision, and F1 score of these models were assessed utilizing the same dataset as shown in </w:t>
      </w:r>
      <w:r>
        <w:rPr>
          <w:rFonts w:ascii="Times New Roman" w:hAnsi="宋体" w:hint="eastAsia"/>
          <w:sz w:val="24"/>
          <w:szCs w:val="24"/>
        </w:rPr>
        <w:t>Table 3</w:t>
      </w:r>
      <w:r>
        <w:rPr>
          <w:rFonts w:ascii="Times New Roman" w:hAnsi="宋体" w:hint="eastAsia"/>
          <w:sz w:val="24"/>
          <w:szCs w:val="24"/>
        </w:rPr>
        <w:t xml:space="preserve">. In comparison with the identification models that encompass a single feature, either a facial complexion feature, a body shape feature, or deep features, the accuracy of the model that incorporates all the aforementioned features was elevated by 0.105, 0.105, and 0.079, the precision increased by 0.164, 0.164, and 0.211, and the F1 score rose by 0.071, 0.071, and 0.084, respectively. The accuracy of the proposed model based on multi-features reached 0.842. In many studies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 xml:space="preserve">, </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 BMI is an important and effective feature that reflects an individual’s body shape. Therefore, a model on the basis of BMI, integrating body shape features, facial color features, and deep features, was built. The F1 score of the introduced model in this paper is higher by 0.010 compared with that of a single BMI feature model. The accuracy and precision increased by 0.026 and 0.062, respectively. Generally, the proposed multi-features-based model outperformed the model encompassing only one feature.</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3 </w:t>
      </w:r>
      <w:r>
        <w:rPr>
          <w:rFonts w:ascii="Times New Roman" w:hAnsi="宋体" w:hint="eastAsia"/>
          <w:sz w:val="24"/>
          <w:szCs w:val="24"/>
        </w:rPr>
        <w:t xml:space="preserve"> Comparison of the performance of models based on different features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ID</w:t>
            </w:r>
          </w:p>
        </w:tc>
        <w:tc>
          <w:tcPr>
            <w:tcBorders>
              <w:top w:val="basicThinLines"/>
              <w:bottom w:val="basicThinLines"/>
            </w:tcBorders>
          </w:tcPr>
          <w:tcPr>
            <w:vAlign w:val="center"/>
          </w:tcPr>
          <w:p>
            <w:pPr>
              <w:jc w:val="center"/>
            </w:pPr>
            <w:r/>
            <w:r>
              <w:rPr xsi:nil="true">
                <w:b w:val="true"/>
              </w:rPr>
              <w:t>Feature</w:t>
            </w:r>
          </w:p>
        </w:tc>
        <w:tc>
          <w:tcPr>
            <w:tcBorders>
              <w:top w:val="basicThinLines"/>
              <w:bottom w:val="basicThinLines"/>
            </w:tcBorders>
          </w:tcPr>
          <w:tcPr>
            <w:vAlign w:val="center"/>
          </w:tcPr>
          <w:p>
            <w:pPr>
              <w:jc w:val="center"/>
            </w:pPr>
            <w:r/>
            <w:r>
              <w:rPr xsi:nil="true">
                <w:b w:val="true"/>
              </w:rPr>
              <w:t>Accuracy</w:t>
            </w:r>
          </w:p>
        </w:tc>
        <w:tc>
          <w:tcPr>
            <w:tcBorders>
              <w:top w:val="basicThinLines"/>
              <w:bottom w:val="basicThinLines"/>
            </w:tcBorders>
          </w:tcPr>
          <w:tcPr>
            <w:vAlign w:val="center"/>
          </w:tcPr>
          <w:p>
            <w:pPr>
              <w:jc w:val="center"/>
            </w:pPr>
            <w:r/>
            <w:r>
              <w:rPr xsi:nil="true">
                <w:b w:val="true"/>
              </w:rPr>
              <w:t>Precision</w:t>
            </w:r>
          </w:p>
        </w:tc>
        <w:tc>
          <w:tcPr>
            <w:tcBorders>
              <w:top w:val="basicThinLines"/>
              <w:bottom w:val="basicThinLines"/>
            </w:tcBorders>
          </w:tcPr>
          <w:tcPr>
            <w:vAlign w:val="center"/>
          </w:tcPr>
          <w:p>
            <w:pPr>
              <w:jc w:val="center"/>
            </w:pPr>
            <w:r/>
            <w:r>
              <w:rPr xsi:nil="true">
                <w:b w:val="true"/>
              </w:rPr>
              <w:t>F1</w:t>
            </w:r>
            <w:r>
              <w:rPr xsi:nil="true"/>
              <w:t xml:space="preserve"> </w:t>
            </w:r>
            <w:r>
              <w:rPr xsi:nil="true">
                <w:b w:val="true"/>
              </w:rPr>
              <w:t>score</w:t>
            </w:r>
          </w:p>
        </w:tc>
      </w:tr>
      <w:tr>
        <w:tc>
          <w:tcPr>
            <w:tcBorders/>
          </w:tcPr>
          <w:tcPr>
            <w:vAlign w:val="center"/>
          </w:tcPr>
          <w:p>
            <w:pPr>
              <w:jc w:val="center"/>
            </w:pPr>
            <w:r/>
            <w:r>
              <w:rPr xsi:nil="true"/>
              <w:t>1</w:t>
            </w:r>
          </w:p>
        </w:tc>
        <w:tc>
          <w:tcPr>
            <w:tcBorders/>
          </w:tcPr>
          <w:tcPr>
            <w:vAlign w:val="center"/>
          </w:tcPr>
          <w:p>
            <w:pPr>
              <w:jc w:val="left"/>
            </w:pPr>
            <w:r/>
            <w:r>
              <w:rPr xsi:nil="true"/>
              <w:t>BMI</w:t>
            </w:r>
          </w:p>
        </w:tc>
        <w:tc>
          <w:tcPr>
            <w:tcBorders/>
          </w:tcPr>
          <w:tcPr>
            <w:vAlign w:val="center"/>
          </w:tcPr>
          <w:p>
            <w:pPr>
              <w:jc w:val="center"/>
            </w:pPr>
            <w:r/>
            <w:r>
              <w:rPr xsi:nil="true"/>
              <w:t>0.816</w:t>
            </w:r>
          </w:p>
        </w:tc>
        <w:tc>
          <w:tcPr>
            <w:tcBorders/>
          </w:tcPr>
          <w:tcPr>
            <w:vAlign w:val="center"/>
          </w:tcPr>
          <w:p>
            <w:pPr>
              <w:jc w:val="center"/>
            </w:pPr>
            <w:r/>
            <w:r>
              <w:rPr xsi:nil="true"/>
              <w:t>0.806</w:t>
            </w:r>
          </w:p>
        </w:tc>
        <w:tc>
          <w:tcPr>
            <w:tcBorders/>
          </w:tcPr>
          <w:tcPr>
            <w:vAlign w:val="center"/>
          </w:tcPr>
          <w:p>
            <w:pPr>
              <w:jc w:val="center"/>
            </w:pPr>
            <w:r/>
            <w:r>
              <w:rPr xsi:nil="true"/>
              <w:t>0.810</w:t>
            </w:r>
          </w:p>
        </w:tc>
      </w:tr>
      <w:tr>
        <w:tc>
          <w:tcPr>
            <w:tcBorders/>
          </w:tcPr>
          <w:tcPr>
            <w:vAlign w:val="center"/>
          </w:tcPr>
          <w:p>
            <w:pPr>
              <w:jc w:val="center"/>
            </w:pPr>
            <w:r/>
            <w:r>
              <w:rPr xsi:nil="true"/>
              <w:t>2</w:t>
            </w:r>
          </w:p>
        </w:tc>
        <w:tc>
          <w:tcPr>
            <w:tcBorders/>
          </w:tcPr>
          <w:tcPr>
            <w:vAlign w:val="center"/>
          </w:tcPr>
          <w:p>
            <w:pPr>
              <w:jc w:val="left"/>
            </w:pPr>
            <w:r/>
            <w:r>
              <w:rPr xsi:nil="true"/>
              <w:t>Body shape feature</w:t>
            </w:r>
          </w:p>
        </w:tc>
        <w:tc>
          <w:tcPr>
            <w:tcBorders/>
          </w:tcPr>
          <w:tcPr>
            <w:vAlign w:val="center"/>
          </w:tcPr>
          <w:p>
            <w:pPr>
              <w:jc w:val="center"/>
            </w:pPr>
            <w:r/>
            <w:r>
              <w:rPr xsi:nil="true"/>
              <w:t>0.737</w:t>
            </w:r>
          </w:p>
        </w:tc>
        <w:tc>
          <w:tcPr>
            <w:tcBorders/>
          </w:tcPr>
          <w:tcPr>
            <w:vAlign w:val="center"/>
          </w:tcPr>
          <w:p>
            <w:pPr>
              <w:jc w:val="center"/>
            </w:pPr>
            <w:r/>
            <w:r>
              <w:rPr xsi:nil="true"/>
              <w:t>0.704</w:t>
            </w:r>
          </w:p>
        </w:tc>
        <w:tc>
          <w:tcPr>
            <w:tcBorders/>
          </w:tcPr>
          <w:tcPr>
            <w:vAlign w:val="center"/>
          </w:tcPr>
          <w:p>
            <w:pPr>
              <w:jc w:val="center"/>
            </w:pPr>
            <w:r/>
            <w:r>
              <w:rPr xsi:nil="true"/>
              <w:t>0.719</w:t>
            </w:r>
          </w:p>
        </w:tc>
      </w:tr>
      <w:tr>
        <w:tc>
          <w:tcPr>
            <w:tcBorders/>
          </w:tcPr>
          <w:tcPr>
            <w:vAlign w:val="center"/>
          </w:tcPr>
          <w:p>
            <w:pPr>
              <w:jc w:val="center"/>
            </w:pPr>
            <w:r/>
            <w:r>
              <w:rPr xsi:nil="true"/>
              <w:t>3</w:t>
            </w:r>
          </w:p>
        </w:tc>
        <w:tc>
          <w:tcPr>
            <w:tcBorders/>
          </w:tcPr>
          <w:tcPr>
            <w:vAlign w:val="center"/>
          </w:tcPr>
          <w:p>
            <w:pPr>
              <w:jc w:val="left"/>
            </w:pPr>
            <w:r/>
            <w:r>
              <w:rPr xsi:nil="true"/>
              <w:t>Facial color feature</w:t>
            </w:r>
          </w:p>
        </w:tc>
        <w:tc>
          <w:tcPr>
            <w:tcBorders/>
          </w:tcPr>
          <w:tcPr>
            <w:vAlign w:val="center"/>
          </w:tcPr>
          <w:p>
            <w:pPr>
              <w:jc w:val="center"/>
            </w:pPr>
            <w:r/>
            <w:r>
              <w:rPr xsi:nil="true"/>
              <w:t>0.737</w:t>
            </w:r>
          </w:p>
        </w:tc>
        <w:tc>
          <w:tcPr>
            <w:tcBorders/>
          </w:tcPr>
          <w:tcPr>
            <w:vAlign w:val="center"/>
          </w:tcPr>
          <w:p>
            <w:pPr>
              <w:jc w:val="center"/>
            </w:pPr>
            <w:r/>
            <w:r>
              <w:rPr xsi:nil="true"/>
              <w:t>0.704</w:t>
            </w:r>
          </w:p>
        </w:tc>
        <w:tc>
          <w:tcPr>
            <w:tcBorders/>
          </w:tcPr>
          <w:tcPr>
            <w:vAlign w:val="center"/>
          </w:tcPr>
          <w:p>
            <w:pPr>
              <w:jc w:val="center"/>
            </w:pPr>
            <w:r/>
            <w:r>
              <w:rPr xsi:nil="true"/>
              <w:t>0.719</w:t>
            </w:r>
          </w:p>
        </w:tc>
      </w:tr>
      <w:tr>
        <w:tc>
          <w:tcPr>
            <w:tcBorders/>
          </w:tcPr>
          <w:tcPr>
            <w:vAlign w:val="center"/>
          </w:tcPr>
          <w:p>
            <w:pPr>
              <w:jc w:val="center"/>
            </w:pPr>
            <w:r/>
            <w:r>
              <w:rPr xsi:nil="true"/>
              <w:t>4</w:t>
            </w:r>
          </w:p>
        </w:tc>
        <w:tc>
          <w:tcPr>
            <w:tcBorders/>
          </w:tcPr>
          <w:tcPr>
            <w:vAlign w:val="center"/>
          </w:tcPr>
          <w:p>
            <w:pPr>
              <w:jc w:val="left"/>
            </w:pPr>
            <w:r/>
            <w:r>
              <w:rPr xsi:nil="true"/>
              <w:t>Deep feature</w:t>
            </w:r>
          </w:p>
        </w:tc>
        <w:tc>
          <w:tcPr>
            <w:tcBorders/>
          </w:tcPr>
          <w:tcPr>
            <w:vAlign w:val="center"/>
          </w:tcPr>
          <w:p>
            <w:pPr>
              <w:jc w:val="center"/>
            </w:pPr>
            <w:r/>
            <w:r>
              <w:rPr xsi:nil="true"/>
              <w:t>0.763</w:t>
            </w:r>
          </w:p>
        </w:tc>
        <w:tc>
          <w:tcPr>
            <w:tcBorders/>
          </w:tcPr>
          <w:tcPr>
            <w:vAlign w:val="center"/>
          </w:tcPr>
          <w:p>
            <w:pPr>
              <w:jc w:val="center"/>
            </w:pPr>
            <w:r/>
            <w:r>
              <w:rPr xsi:nil="true"/>
              <w:t>0.657</w:t>
            </w:r>
          </w:p>
        </w:tc>
        <w:tc>
          <w:tcPr>
            <w:tcBorders/>
          </w:tcPr>
          <w:tcPr>
            <w:vAlign w:val="center"/>
          </w:tcPr>
          <w:p>
            <w:pPr>
              <w:jc w:val="center"/>
            </w:pPr>
            <w:r/>
            <w:r>
              <w:rPr xsi:nil="true"/>
              <w:t>0.706</w:t>
            </w:r>
          </w:p>
        </w:tc>
      </w:tr>
      <w:tr>
        <w:tc>
          <w:tcPr>
            <w:tcBorders/>
          </w:tcPr>
          <w:tcPr>
            <w:vAlign w:val="top"/>
          </w:tcPr>
          <w:p>
            <w:pPr>
              <w:jc w:val="center"/>
            </w:pPr>
            <w:r/>
            <w:r>
              <w:rPr xsi:nil="true"/>
              <w:t>5</w:t>
            </w:r>
          </w:p>
        </w:tc>
        <w:tc>
          <w:tcPr>
            <w:tcBorders/>
          </w:tcPr>
          <w:tcPr>
            <w:vAlign w:val="top"/>
          </w:tcPr>
          <w:p>
            <w:pPr>
              <w:jc w:val="left"/>
            </w:pPr>
            <w:r/>
            <w:r>
              <w:rPr xsi:nil="true"/>
              <w:t>BMI, body shape feature,</w:t>
            </w:r>
            <w:r>
              <w:rPr xsi:nil="true"/>
              <w:t xml:space="preserve"> and facial color feature</w:t>
            </w:r>
          </w:p>
        </w:tc>
        <w:tc>
          <w:tcPr>
            <w:tcBorders/>
          </w:tcPr>
          <w:tcPr>
            <w:vAlign w:val="top"/>
          </w:tcPr>
          <w:p>
            <w:pPr>
              <w:jc w:val="center"/>
            </w:pPr>
            <w:r/>
            <w:r>
              <w:rPr xsi:nil="true"/>
              <w:t>0.816</w:t>
            </w:r>
          </w:p>
        </w:tc>
        <w:tc>
          <w:tcPr>
            <w:tcBorders/>
          </w:tcPr>
          <w:tcPr>
            <w:vAlign w:val="top"/>
          </w:tcPr>
          <w:p>
            <w:pPr>
              <w:jc w:val="center"/>
            </w:pPr>
            <w:r/>
            <w:r>
              <w:rPr xsi:nil="true"/>
              <w:t>0.666</w:t>
            </w:r>
          </w:p>
        </w:tc>
        <w:tc>
          <w:tcPr>
            <w:tcBorders/>
          </w:tcPr>
          <w:tcPr>
            <w:vAlign w:val="top"/>
          </w:tcPr>
          <w:p>
            <w:pPr>
              <w:jc w:val="center"/>
            </w:pPr>
            <w:r/>
            <w:r>
              <w:rPr xsi:nil="true"/>
              <w:t>0.733</w:t>
            </w:r>
          </w:p>
        </w:tc>
      </w:tr>
      <w:tr>
        <w:tc>
          <w:tcPr>
            <w:tcBorders/>
          </w:tcPr>
          <w:tcPr>
            <w:vAlign w:val="top"/>
          </w:tcPr>
          <w:p>
            <w:pPr>
              <w:jc w:val="center"/>
            </w:pPr>
            <w:r/>
            <w:r>
              <w:rPr xsi:nil="true"/>
              <w:t>6</w:t>
            </w:r>
          </w:p>
        </w:tc>
        <w:tc>
          <w:tcPr>
            <w:tcBorders/>
          </w:tcPr>
          <w:tcPr>
            <w:vAlign w:val="top"/>
          </w:tcPr>
          <w:p>
            <w:pPr>
              <w:jc w:val="left"/>
            </w:pPr>
            <w:r/>
            <w:r>
              <w:rPr xsi:nil="true"/>
              <w:t>BMI, body shape feature,</w:t>
            </w:r>
            <w:r>
              <w:rPr xsi:nil="true"/>
              <w:t xml:space="preserve"> and deep feature</w:t>
            </w:r>
          </w:p>
        </w:tc>
        <w:tc>
          <w:tcPr>
            <w:tcBorders/>
          </w:tcPr>
          <w:tcPr>
            <w:vAlign w:val="top"/>
          </w:tcPr>
          <w:p>
            <w:pPr>
              <w:jc w:val="center"/>
            </w:pPr>
            <w:r/>
            <w:r>
              <w:rPr xsi:nil="true"/>
              <w:t>0.790</w:t>
            </w:r>
          </w:p>
        </w:tc>
        <w:tc>
          <w:tcPr>
            <w:tcBorders/>
          </w:tcPr>
          <w:tcPr>
            <w:vAlign w:val="top"/>
          </w:tcPr>
          <w:p>
            <w:pPr>
              <w:jc w:val="center"/>
            </w:pPr>
            <w:r/>
            <w:r>
              <w:rPr xsi:nil="true"/>
              <w:t>0.662</w:t>
            </w:r>
          </w:p>
        </w:tc>
        <w:tc>
          <w:tcPr>
            <w:tcBorders/>
          </w:tcPr>
          <w:tcPr>
            <w:vAlign w:val="top"/>
          </w:tcPr>
          <w:p>
            <w:pPr>
              <w:jc w:val="center"/>
            </w:pPr>
            <w:r/>
            <w:r>
              <w:rPr xsi:nil="true"/>
              <w:t>0.720</w:t>
            </w:r>
          </w:p>
        </w:tc>
      </w:tr>
      <w:tr>
        <w:tc>
          <w:tcPr>
            <w:tcBorders/>
          </w:tcPr>
          <w:tcPr>
            <w:vAlign w:val="top"/>
          </w:tcPr>
          <w:p>
            <w:pPr>
              <w:jc w:val="center"/>
            </w:pPr>
            <w:r/>
            <w:r>
              <w:rPr xsi:nil="true"/>
              <w:t>7</w:t>
            </w:r>
          </w:p>
        </w:tc>
        <w:tc>
          <w:tcPr>
            <w:tcBorders/>
          </w:tcPr>
          <w:tcPr>
            <w:vAlign w:val="top"/>
          </w:tcPr>
          <w:p>
            <w:pPr>
              <w:jc w:val="left"/>
            </w:pPr>
            <w:r/>
            <w:r>
              <w:rPr xsi:nil="true"/>
              <w:t>BMI, facial color feature,</w:t>
            </w:r>
            <w:r>
              <w:rPr xsi:nil="true"/>
              <w:t xml:space="preserve"> and deep feature</w:t>
            </w:r>
          </w:p>
        </w:tc>
        <w:tc>
          <w:tcPr>
            <w:tcBorders/>
          </w:tcPr>
          <w:tcPr>
            <w:vAlign w:val="top"/>
          </w:tcPr>
          <w:p>
            <w:pPr>
              <w:jc w:val="center"/>
            </w:pPr>
            <w:r/>
            <w:r>
              <w:rPr xsi:nil="true"/>
              <w:t>0.790</w:t>
            </w:r>
          </w:p>
        </w:tc>
        <w:tc>
          <w:tcPr>
            <w:tcBorders/>
          </w:tcPr>
          <w:tcPr>
            <w:vAlign w:val="top"/>
          </w:tcPr>
          <w:p>
            <w:pPr>
              <w:jc w:val="center"/>
            </w:pPr>
            <w:r/>
            <w:r>
              <w:rPr xsi:nil="true"/>
              <w:t>0.662</w:t>
            </w:r>
          </w:p>
        </w:tc>
        <w:tc>
          <w:tcPr>
            <w:tcBorders/>
          </w:tcPr>
          <w:tcPr>
            <w:vAlign w:val="top"/>
          </w:tcPr>
          <w:p>
            <w:pPr>
              <w:jc w:val="center"/>
            </w:pPr>
            <w:r/>
            <w:r>
              <w:rPr xsi:nil="true"/>
              <w:t>0.720</w:t>
            </w:r>
          </w:p>
        </w:tc>
      </w:tr>
      <w:tr>
        <w:tc>
          <w:tcPr>
            <w:tcBorders/>
          </w:tcPr>
          <w:tcPr>
            <w:vAlign w:val="top"/>
          </w:tcPr>
          <w:p>
            <w:pPr>
              <w:jc w:val="center"/>
            </w:pPr>
            <w:r/>
            <w:r>
              <w:rPr xsi:nil="true"/>
              <w:t>8</w:t>
            </w:r>
          </w:p>
        </w:tc>
        <w:tc>
          <w:tcPr>
            <w:tcBorders/>
          </w:tcPr>
          <w:tcPr>
            <w:vAlign w:val="top"/>
          </w:tcPr>
          <w:p>
            <w:pPr>
              <w:jc w:val="left"/>
            </w:pPr>
            <w:r/>
            <w:r>
              <w:rPr xsi:nil="true"/>
              <w:t>Body shape feature, facial color feature, and deep feature</w:t>
            </w:r>
          </w:p>
        </w:tc>
        <w:tc>
          <w:tcPr>
            <w:tcBorders/>
          </w:tcPr>
          <w:tcPr>
            <w:vAlign w:val="top"/>
          </w:tcPr>
          <w:p>
            <w:pPr>
              <w:jc w:val="center"/>
            </w:pPr>
            <w:r/>
            <w:r>
              <w:rPr xsi:nil="true"/>
              <w:t>0.737</w:t>
            </w:r>
          </w:p>
        </w:tc>
        <w:tc>
          <w:tcPr>
            <w:tcBorders/>
          </w:tcPr>
          <w:tcPr>
            <w:vAlign w:val="top"/>
          </w:tcPr>
          <w:p>
            <w:pPr>
              <w:jc w:val="center"/>
            </w:pPr>
            <w:r/>
            <w:r>
              <w:rPr xsi:nil="true"/>
              <w:t>0.704</w:t>
            </w:r>
          </w:p>
        </w:tc>
        <w:tc>
          <w:tcPr>
            <w:tcBorders/>
          </w:tcPr>
          <w:tcPr>
            <w:vAlign w:val="top"/>
          </w:tcPr>
          <w:p>
            <w:pPr>
              <w:jc w:val="center"/>
            </w:pPr>
            <w:r/>
            <w:r>
              <w:rPr xsi:nil="true"/>
              <w:t>0.719</w:t>
            </w:r>
          </w:p>
        </w:tc>
      </w:tr>
      <w:tr>
        <w:tc>
          <w:tcPr>
            <w:tcBorders>
              <w:bottom w:val="basicThinLines"/>
            </w:tcBorders>
          </w:tcPr>
          <w:tcPr>
            <w:vAlign w:val="top"/>
          </w:tcPr>
          <w:p>
            <w:pPr>
              <w:jc w:val="center"/>
            </w:pPr>
            <w:r/>
            <w:r>
              <w:rPr xsi:nil="true"/>
              <w:t>9</w:t>
            </w:r>
          </w:p>
        </w:tc>
        <w:tc>
          <w:tcPr>
            <w:tcBorders>
              <w:bottom w:val="basicThinLines"/>
            </w:tcBorders>
          </w:tcPr>
          <w:tcPr>
            <w:vAlign w:val="top"/>
          </w:tcPr>
          <w:p>
            <w:pPr>
              <w:jc w:val="left"/>
            </w:pPr>
            <w:r/>
            <w:r>
              <w:rPr xsi:nil="true"/>
              <w:t>BMI, body shape feature, facial color feature, and deep feature</w:t>
            </w:r>
          </w:p>
        </w:tc>
        <w:tc>
          <w:tcPr>
            <w:tcBorders>
              <w:bottom w:val="basicThinLines"/>
            </w:tcBorders>
          </w:tcPr>
          <w:tcPr>
            <w:vAlign w:val="top"/>
          </w:tcPr>
          <w:p>
            <w:pPr>
              <w:jc w:val="center"/>
            </w:pPr>
            <w:r/>
            <w:r>
              <w:rPr xsi:nil="true"/>
              <w:t>0.842</w:t>
            </w:r>
          </w:p>
        </w:tc>
        <w:tc>
          <w:tcPr>
            <w:tcBorders>
              <w:bottom w:val="basicThinLines"/>
            </w:tcBorders>
          </w:tcPr>
          <w:tcPr>
            <w:vAlign w:val="top"/>
          </w:tcPr>
          <w:p>
            <w:pPr>
              <w:jc w:val="center"/>
            </w:pPr>
            <w:r/>
            <w:r>
              <w:rPr xsi:nil="true"/>
              <w:t>0.868</w:t>
            </w:r>
          </w:p>
        </w:tc>
        <w:tc>
          <w:tcPr>
            <w:tcBorders>
              <w:bottom w:val="basicThinLines"/>
            </w:tcBorders>
          </w:tcPr>
          <w:tcPr>
            <w:vAlign w:val="top"/>
          </w:tcPr>
          <w:p>
            <w:pPr>
              <w:jc w:val="center"/>
            </w:pPr>
            <w:r/>
            <w:r>
              <w:rPr xsi:nil="true"/>
              <w:t>0.790</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4.7  Performance analysis of the model for identifying balanced, Yin deficient, and Yang deficient constitutions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analyze the performance of the TCM constitution identification model proposed in this study, its accuracy, precision, and F1 score for identifying balanced, Yindeficient, and Yang deficient constitutions were evaluated. In addition, the performance of the model was compared with that of other models. </w:t>
      </w:r>
      <w:r>
        <w:rPr>
          <w:rFonts w:ascii="Times New Roman" w:hAnsi="宋体" w:hint="eastAsia"/>
          <w:sz w:val="24"/>
          <w:szCs w:val="24"/>
        </w:rPr>
        <w:t>Table 4</w:t>
      </w:r>
      <w:r>
        <w:rPr>
          <w:rFonts w:ascii="Times New Roman" w:hAnsi="宋体" w:hint="eastAsia"/>
          <w:sz w:val="24"/>
          <w:szCs w:val="24"/>
        </w:rPr>
        <w:t xml:space="preserve"> illustrates that the multi-features-based constitution identification model achieved an accuracy of 0.714, a precision of 0.793, and an F1 score of 0.721 for recognizing Balanced constitution, Yin deficient constitution and Yang deficient constitution. When compared with the TCM constitution identification model based on human skeleton features </w:t>
      </w:r>
      <w:r>
        <w:rPr>
          <w:rFonts w:ascii="Times New Roman" w:hAnsi="宋体" w:hint="eastAsia"/>
          <w:sz w:val="24"/>
          <w:szCs w:val="24"/>
          <w:vertAlign w:val="superscript"/>
        </w:rPr>
        <w:t>[</w:t>
      </w:r>
      <w:r>
        <w:rPr>
          <w:rFonts w:ascii="Times New Roman" w:hAnsi="宋体" w:hint="eastAsia"/>
          <w:sz w:val="24"/>
          <w:szCs w:val="24"/>
          <w:vertAlign w:val="superscript"/>
        </w:rPr>
        <w:t>43</w:t>
      </w:r>
      <w:r>
        <w:rPr>
          <w:rFonts w:ascii="Times New Roman" w:hAnsi="宋体" w:hint="eastAsia"/>
          <w:sz w:val="24"/>
          <w:szCs w:val="24"/>
          <w:vertAlign w:val="superscript"/>
        </w:rPr>
        <w:t>]</w:t>
      </w:r>
      <w:r>
        <w:rPr>
          <w:rFonts w:ascii="Times New Roman" w:hAnsi="宋体" w:hint="eastAsia"/>
          <w:sz w:val="24"/>
          <w:szCs w:val="24"/>
        </w:rPr>
        <w:t xml:space="preserve">, the accuracy, precision, and F1 score of this model were improved by 0.143, 0.105, and 0.143, respectively. Compared with the TCM constitution identification model based on CNN </w:t>
      </w:r>
      <w:r>
        <w:rPr>
          <w:rFonts w:ascii="Times New Roman" w:hAnsi="宋体" w:hint="eastAsia"/>
          <w:sz w:val="24"/>
          <w:szCs w:val="24"/>
          <w:vertAlign w:val="superscript"/>
        </w:rPr>
        <w:t>[</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 the accuracy, precision and, F1 score of this model were improved by 0.143, 0.245, and 0.178, respectively. These results have demonstrated that the TCM constitution identification model utilizing multi-features outperformed other models in terms of identifying TCM constitutions.</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4 </w:t>
      </w:r>
      <w:r>
        <w:rPr>
          <w:rFonts w:ascii="Times New Roman" w:hAnsi="宋体" w:hint="eastAsia"/>
          <w:sz w:val="24"/>
          <w:szCs w:val="24"/>
        </w:rPr>
        <w:t xml:space="preserve"> Performance comparison between the proposed model and other models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Method</w:t>
            </w:r>
          </w:p>
        </w:tc>
        <w:tc>
          <w:tcPr>
            <w:tcBorders>
              <w:top w:val="basicThinLines"/>
              <w:bottom w:val="basicThinLines"/>
            </w:tcBorders>
          </w:tcPr>
          <w:tcPr>
            <w:vAlign w:val="center"/>
          </w:tcPr>
          <w:p>
            <w:pPr>
              <w:jc w:val="center"/>
            </w:pPr>
            <w:r/>
            <w:r>
              <w:rPr xsi:nil="true">
                <w:b w:val="true"/>
              </w:rPr>
              <w:t>Accuracy</w:t>
            </w:r>
          </w:p>
        </w:tc>
        <w:tc>
          <w:tcPr>
            <w:tcBorders>
              <w:top w:val="basicThinLines"/>
              <w:bottom w:val="basicThinLines"/>
            </w:tcBorders>
          </w:tcPr>
          <w:tcPr>
            <w:vAlign w:val="center"/>
          </w:tcPr>
          <w:p>
            <w:pPr>
              <w:jc w:val="center"/>
            </w:pPr>
            <w:r/>
            <w:r>
              <w:rPr xsi:nil="true">
                <w:b w:val="true"/>
              </w:rPr>
              <w:t>Precision</w:t>
            </w:r>
          </w:p>
        </w:tc>
        <w:tc>
          <w:tcPr>
            <w:tcBorders>
              <w:top w:val="basicThinLines"/>
              <w:bottom w:val="basicThinLines"/>
            </w:tcBorders>
          </w:tcPr>
          <w:tcPr>
            <w:vAlign w:val="center"/>
          </w:tcPr>
          <w:p>
            <w:pPr>
              <w:jc w:val="center"/>
            </w:pPr>
            <w:r/>
            <w:r>
              <w:rPr xsi:nil="true">
                <w:b w:val="true"/>
              </w:rPr>
              <w:t>F1 score</w:t>
            </w:r>
          </w:p>
        </w:tc>
      </w:tr>
      <w:tr>
        <w:tc>
          <w:tcPr>
            <w:tcBorders/>
          </w:tcPr>
          <w:tcPr>
            <w:vAlign w:val="center"/>
          </w:tcPr>
          <w:p>
            <w:pPr>
              <w:jc w:val="left"/>
            </w:pPr>
            <w:r/>
            <w:r>
              <w:rPr xsi:nil="true"/>
              <w:t xml:space="preserve">Based on CNN </w:t>
            </w:r>
            <w:r>
              <w:rPr xsi:nil="true">
                <w:vertAlign w:val="superscript"/>
              </w:rPr>
              <w:t>[</w:t>
            </w:r>
            <w:r>
              <w:rPr xsi:nil="true">
                <w:vertAlign w:val="superscript"/>
              </w:rPr>
              <w:t>10</w:t>
            </w:r>
            <w:r>
              <w:rPr xsi:nil="true">
                <w:vertAlign w:val="superscript"/>
              </w:rPr>
              <w:t>]</w:t>
            </w:r>
          </w:p>
        </w:tc>
        <w:tc>
          <w:tcPr>
            <w:tcBorders/>
          </w:tcPr>
          <w:tcPr>
            <w:vAlign w:val="center"/>
          </w:tcPr>
          <w:p>
            <w:pPr>
              <w:jc w:val="center"/>
            </w:pPr>
            <w:r/>
            <w:r>
              <w:rPr xsi:nil="true"/>
              <w:t>0.571</w:t>
            </w:r>
          </w:p>
        </w:tc>
        <w:tc>
          <w:tcPr>
            <w:tcBorders/>
          </w:tcPr>
          <w:tcPr>
            <w:vAlign w:val="center"/>
          </w:tcPr>
          <w:p>
            <w:pPr>
              <w:jc w:val="center"/>
            </w:pPr>
            <w:r/>
            <w:r>
              <w:rPr xsi:nil="true"/>
              <w:t>0.548</w:t>
            </w:r>
          </w:p>
        </w:tc>
        <w:tc>
          <w:tcPr>
            <w:tcBorders/>
          </w:tcPr>
          <w:tcPr>
            <w:vAlign w:val="center"/>
          </w:tcPr>
          <w:p>
            <w:pPr>
              <w:jc w:val="center"/>
            </w:pPr>
            <w:r/>
            <w:r>
              <w:rPr xsi:nil="true"/>
              <w:t>0.543</w:t>
            </w:r>
          </w:p>
        </w:tc>
      </w:tr>
      <w:tr>
        <w:tc>
          <w:tcPr>
            <w:tcBorders/>
          </w:tcPr>
          <w:tcPr>
            <w:vAlign w:val="center"/>
          </w:tcPr>
          <w:p>
            <w:pPr>
              <w:jc w:val="left"/>
            </w:pPr>
            <w:r/>
            <w:r>
              <w:rPr xsi:nil="true"/>
              <w:t>Based on human skeletal features</w:t>
            </w:r>
            <w:r>
              <w:rPr xsi:nil="true">
                <w:vertAlign w:val="superscript"/>
              </w:rPr>
              <w:t xml:space="preserve"> [</w:t>
            </w:r>
            <w:r>
              <w:rPr xsi:nil="true">
                <w:vertAlign w:val="superscript"/>
              </w:rPr>
              <w:t>43</w:t>
            </w:r>
            <w:r>
              <w:rPr xsi:nil="true">
                <w:vertAlign w:val="superscript"/>
              </w:rPr>
              <w:t>]</w:t>
            </w:r>
          </w:p>
        </w:tc>
        <w:tc>
          <w:tcPr>
            <w:tcBorders/>
          </w:tcPr>
          <w:tcPr>
            <w:vAlign w:val="top"/>
          </w:tcPr>
          <w:p>
            <w:pPr>
              <w:jc w:val="center"/>
            </w:pPr>
            <w:r/>
            <w:r>
              <w:rPr xsi:nil="true"/>
              <w:t>0.571</w:t>
            </w:r>
          </w:p>
        </w:tc>
        <w:tc>
          <w:tcPr>
            <w:tcBorders/>
          </w:tcPr>
          <w:tcPr>
            <w:vAlign w:val="top"/>
          </w:tcPr>
          <w:p>
            <w:pPr>
              <w:jc w:val="center"/>
            </w:pPr>
            <w:r/>
            <w:r>
              <w:rPr xsi:nil="true"/>
              <w:t>0.688</w:t>
            </w:r>
          </w:p>
        </w:tc>
        <w:tc>
          <w:tcPr>
            <w:tcBorders/>
          </w:tcPr>
          <w:tcPr>
            <w:vAlign w:val="top"/>
          </w:tcPr>
          <w:p>
            <w:pPr>
              <w:jc w:val="center"/>
            </w:pPr>
            <w:r/>
            <w:r>
              <w:rPr xsi:nil="true"/>
              <w:t>0.578</w:t>
            </w:r>
          </w:p>
        </w:tc>
      </w:tr>
      <w:tr>
        <w:tc>
          <w:tcPr>
            <w:tcBorders>
              <w:bottom w:val="basicThinLines"/>
            </w:tcBorders>
          </w:tcPr>
          <w:tcPr>
            <w:vAlign w:val="center"/>
          </w:tcPr>
          <w:p>
            <w:pPr>
              <w:jc w:val="left"/>
            </w:pPr>
            <w:r/>
            <w:r>
              <w:rPr xsi:nil="true"/>
              <w:t>Proposed method</w:t>
            </w:r>
          </w:p>
        </w:tc>
        <w:tc>
          <w:tcPr>
            <w:tcBorders>
              <w:bottom w:val="basicThinLines"/>
            </w:tcBorders>
          </w:tcPr>
          <w:tcPr>
            <w:vAlign w:val="center"/>
          </w:tcPr>
          <w:p>
            <w:pPr>
              <w:jc w:val="center"/>
            </w:pPr>
            <w:r/>
            <w:r>
              <w:rPr xsi:nil="true"/>
              <w:t>0.714</w:t>
            </w:r>
          </w:p>
        </w:tc>
        <w:tc>
          <w:tcPr>
            <w:tcBorders>
              <w:bottom w:val="basicThinLines"/>
            </w:tcBorders>
          </w:tcPr>
          <w:tcPr>
            <w:vAlign w:val="center"/>
          </w:tcPr>
          <w:p>
            <w:pPr>
              <w:jc w:val="center"/>
            </w:pPr>
            <w:r/>
            <w:r>
              <w:rPr xsi:nil="true"/>
              <w:t>0.793</w:t>
            </w:r>
          </w:p>
        </w:tc>
        <w:tc>
          <w:tcPr>
            <w:tcBorders>
              <w:bottom w:val="basicThinLines"/>
            </w:tcBorders>
          </w:tcPr>
          <w:tcPr>
            <w:vAlign w:val="center"/>
          </w:tcPr>
          <w:p>
            <w:pPr>
              <w:jc w:val="center"/>
            </w:pPr>
            <w:r/>
            <w:r>
              <w:rPr xsi:nil="true"/>
              <w:t>0.721</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4.8  Case study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comparison between the actual constitution and the predicted constitution by the proposed TCM constitution identification model using the testing set is shown in </w:t>
      </w:r>
      <w:r>
        <w:rPr>
          <w:rFonts w:ascii="Times New Roman" w:hAnsi="宋体" w:hint="eastAsia"/>
          <w:sz w:val="24"/>
          <w:szCs w:val="24"/>
        </w:rPr>
        <w:t>Figure 13</w:t>
      </w:r>
      <w:r>
        <w:rPr>
          <w:rFonts w:ascii="Times New Roman" w:hAnsi="宋体" w:hint="eastAsia"/>
          <w:sz w:val="24"/>
          <w:szCs w:val="24"/>
        </w:rPr>
        <w:t xml:space="preserve">. </w:t>
      </w:r>
      <w:r>
        <w:rPr>
          <w:rFonts w:ascii="Times New Roman" w:hAnsi="宋体" w:hint="eastAsia"/>
          <w:sz w:val="24"/>
          <w:szCs w:val="24"/>
        </w:rPr>
        <w:t>Figure 13A</w:t>
      </w:r>
      <w:r>
        <w:rPr>
          <w:rFonts w:ascii="Times New Roman" w:hAnsi="宋体" w:hint="eastAsia"/>
          <w:sz w:val="24"/>
          <w:szCs w:val="24"/>
        </w:rPr>
        <w:t xml:space="preserve"> is well-proportioned and robust, which leans towards balanced constitution, and </w:t>
      </w:r>
      <w:r>
        <w:rPr>
          <w:rFonts w:ascii="Times New Roman" w:hAnsi="宋体" w:hint="eastAsia"/>
          <w:sz w:val="24"/>
          <w:szCs w:val="24"/>
        </w:rPr>
        <w:t>Figure 13B</w:t>
      </w:r>
      <w:r>
        <w:rPr>
          <w:rFonts w:ascii="Times New Roman" w:hAnsi="宋体" w:hint="eastAsia"/>
          <w:sz w:val="24"/>
          <w:szCs w:val="24"/>
        </w:rPr>
        <w:t xml:space="preserve"> is thin, which is leaning towards Yin deficiency constitution. The TCM constitution identification model proposed in this paper was able to correctly identify the differences between </w:t>
      </w:r>
      <w:r>
        <w:rPr>
          <w:rFonts w:ascii="Times New Roman" w:hAnsi="宋体" w:hint="eastAsia"/>
          <w:sz w:val="24"/>
          <w:szCs w:val="24"/>
        </w:rPr>
        <w:t>Figure 13A</w:t>
      </w:r>
      <w:r>
        <w:rPr>
          <w:rFonts w:ascii="Times New Roman" w:hAnsi="宋体" w:hint="eastAsia"/>
          <w:sz w:val="24"/>
          <w:szCs w:val="24"/>
        </w:rPr>
        <w:t xml:space="preserve"> and </w:t>
      </w:r>
      <w:r>
        <w:rPr>
          <w:rFonts w:ascii="Times New Roman" w:hAnsi="宋体" w:hint="eastAsia"/>
          <w:sz w:val="24"/>
          <w:szCs w:val="24"/>
        </w:rPr>
        <w:t>13B</w:t>
      </w:r>
      <w:r>
        <w:rPr>
          <w:rFonts w:ascii="Times New Roman" w:hAnsi="宋体" w:hint="eastAsia"/>
          <w:sz w:val="24"/>
          <w:szCs w:val="24"/>
        </w:rPr>
        <w:t>.</w:t>
      </w:r>
    </w:p>
    <w:p>
      <w:pPr>
        <w:spacing w:before="200" w:after="100"/>
        <w:jc w:val="center"/>
      </w:pPr>
      <w:r>
        <w:drawing>
          <wp:inline distT="0" distR="0" distB="0" distL="0">
            <wp:extent cx="2736342" cy="1078611"/>
            <wp:docPr id="12" name="Drawing 12" descr="hukongfa-13.jpg"/>
            <a:graphic xmlns:a="http://schemas.openxmlformats.org/drawingml/2006/main">
              <a:graphicData uri="http://schemas.openxmlformats.org/drawingml/2006/picture">
                <pic:pic xmlns:pic="http://schemas.openxmlformats.org/drawingml/2006/picture">
                  <pic:nvPicPr>
                    <pic:cNvPr id="0" name="Picture 12" descr="hukongfa-13.jpg"/>
                    <pic:cNvPicPr>
                      <a:picLocks noChangeAspect="true"/>
                    </pic:cNvPicPr>
                  </pic:nvPicPr>
                  <pic:blipFill>
                    <a:blip r:embed="rId21"/>
                    <a:stretch>
                      <a:fillRect/>
                    </a:stretch>
                  </pic:blipFill>
                  <pic:spPr>
                    <a:xfrm>
                      <a:off x="0" y="0"/>
                      <a:ext cx="2736342" cy="1078611"/>
                    </a:xfrm>
                    <a:prstGeom prst="rect">
                      <a:avLst/>
                    </a:prstGeom>
                  </pic:spPr>
                </pic:pic>
              </a:graphicData>
            </a:graphic>
          </wp:inline>
        </w:drawing>
      </w:r>
    </w:p>
    <w:p>
      <w:pPr>
        <w:spacing w:after="200"/>
        <w:jc w:val="center"/>
      </w:pPr>
      <w:r>
        <w:rPr>
          <w:b w:val="true"/>
        </w:rPr>
        <w:t xml:space="preserve">Fig. 13  </w:t>
      </w:r>
      <w:r>
        <w:rPr>
          <w:b w:val="true"/>
        </w:rPr>
        <w:t>Comparison between naked eyes observed constitution and predicted constitution by the proposed model</w:t>
      </w:r>
    </w:p>
    <w:p>
      <w:pPr>
        <w:jc w:val="center"/>
      </w:pPr>
      <w:r>
        <w:t>A, a case study of balanced constitution. B, a case study of Yin deficient constitution.</w:t>
      </w:r>
    </w:p>
    <w:p>
      <w:pPr>
        <w:spacing w:before="156" w:beforeLines="50" w:line="360" w:lineRule="auto"/>
        <w:jc w:val="left"/>
        <w:rPr>
          <w:rFonts w:ascii="Times New Roman" w:hAnsi="宋体"/>
          <w:sz w:val="24"/>
          <w:szCs w:val="24"/>
        </w:rPr>
      </w:pPr>
      <w:r>
        <w:rPr>
          <w:rFonts w:ascii="Times New Roman" w:hAnsi="宋体" w:hint="eastAsia"/>
          <w:b/>
          <w:sz w:val="32"/>
          <w:szCs w:val="32"/>
        </w:rPr>
        <w:t>5  Discussion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Constructing a precise model for identifying TCM constitutions can provide better guidance for formulating clinical diagnoses and treatment plans, thereby enhancing medical efficiency and treatment outcomes. Traditional methods</w:t>
      </w:r>
      <w:r>
        <w:rPr>
          <w:rFonts w:ascii="Times New Roman" w:hAnsi="宋体" w:hint="eastAsia"/>
          <w:sz w:val="24"/>
          <w:szCs w:val="24"/>
          <w:vertAlign w:val="superscript"/>
        </w:rPr>
        <w:t xml:space="preserve"> [</w:t>
      </w:r>
      <w:r>
        <w:rPr>
          <w:rFonts w:ascii="Times New Roman" w:hAnsi="宋体" w:hint="eastAsia"/>
          <w:sz w:val="24"/>
          <w:szCs w:val="24"/>
          <w:vertAlign w:val="superscript"/>
        </w:rPr>
        <w:t>6</w:t>
      </w:r>
      <w:r>
        <w:rPr>
          <w:rFonts w:ascii="Times New Roman" w:hAnsi="宋体" w:hint="eastAsia"/>
          <w:sz w:val="24"/>
          <w:szCs w:val="24"/>
          <w:vertAlign w:val="superscript"/>
        </w:rPr>
        <w:t>]</w:t>
      </w:r>
      <w:r>
        <w:rPr>
          <w:rFonts w:ascii="Times New Roman" w:hAnsi="宋体" w:hint="eastAsia"/>
          <w:sz w:val="24"/>
          <w:szCs w:val="24"/>
        </w:rPr>
        <w:t xml:space="preserve">, such as filling out the CCMQ, have the problem of low efficiency. With the development of computer vision, constitution identification models based on tongue and facial images have been widely studied. Research indicates that TCM constitution is closely associated with facial complexion and body shape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However, most current studies focus on extracting the features from certain parts of the human body, which cannot represent the comprehensive features related to constitution. In this paper, a TCM constitution recognition model based on multi-features is proposed. This model extracts facial complexion, body shape, and deep features from full-body standing images to improve the accuracy of constitution identification.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study results demonstrated that the predictive accuracy of the model based on multi-features was higher by 0.105, 0.105, 0.079, and 0.026 than that of the single feature based model, including the single facial complexion feature model, body shape feature model, deep feature model, and BMI model, respectively. Meanwhile, the proposed model achieved a high accuracy of 0.842, indicating good performance. The study results also confirmed the feasibility of the proposed multi-feature-based model. Nonetheless, the proposed model in the study is expected to further improve the objectivity and intelligence of constitution identification in TCM practices.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However, the sample size in this study was limited, including only 125 subjects. Given that a small sample size could affect the performance of the model, this paper introduced the Dropout regularization technique in the training process to limit the complexity of the model and enhance its generalization ability. Additionally, recognizing that the potential for error stems from the reliance on a single data source, it’s necessary to carry out multi-level and multi-regional data validation for the assessment of the model’s applicability across diverse environments in future studies.</w:t>
      </w:r>
    </w:p>
    <w:p>
      <w:pPr>
        <w:spacing w:before="156" w:beforeLines="50" w:line="360" w:lineRule="auto"/>
        <w:jc w:val="left"/>
        <w:rPr>
          <w:rFonts w:ascii="Times New Roman" w:hAnsi="宋体"/>
          <w:sz w:val="24"/>
          <w:szCs w:val="24"/>
        </w:rPr>
      </w:pPr>
      <w:r>
        <w:rPr>
          <w:rFonts w:ascii="Times New Roman" w:hAnsi="宋体" w:hint="eastAsia"/>
          <w:b/>
          <w:sz w:val="32"/>
          <w:szCs w:val="32"/>
        </w:rPr>
        <w:t>6  Conclusion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study, a TCM constitution identification model based on multi-features, including facial complexion, body shape feature, deep feature, and BMI, was proposed. This study introduced the extraction of facial complexion features based on the HSV color space, the enhancement of the LBP algorithm for extracting body shape features, and the dual-branch CResNet-ST method for extracting deep features from the full-body standing images. TCM constitution identification requires comprehensive information about a person to analyze and judge. In future research, the data of different people will be collected to improve the applicability of the model in different environments. At the same time, tongue, hand, and other data will be included to further improve the TCM constitution identification model, enhancing its accuracy and reliability.</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SHEN YQ, LIAO SH, SHEN Y, et al. Research progress of traditional Chinese medicine constitution based on primary disease of chronic kidney disease. Chinese Journal of Ethnomedicine and Ethnopharmacy, 2024, 33（7）: 57–61.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FENG MY, OUYANG MH, PAN ZS, et al. Study on the characteristics of traditional Chinese medicine constitution and the findings of meridian detection in overweight and obese population. Journal of Guangzhou University of Traditional Chinese Medicine, 2023, 40（9）: 2153–2159.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ZHENG TT, ZHANG BX, NI PP, et al. Research progress on the correlation between lung cancer and TCM constitution identification. China &amp; Foreign Medical Treatment, 2023, 42（11）: 189–194.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LING J, MO HF, JIANG ZX, et al. Progress of traditional Chinese medicine constitution identification on influence of hypertensive pathogenesis in community. Clinical Journal of Traditional Chinese Medicine, 2022, 34（12）: 2397–2401.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LONG LQ, ZHU YB, CHEN PP. Analysis of TCM constitution factors of public acute stress reaction during COVID-19 epidemic based on sample data of 1102 cases. Journal of Beijing University of Traditional Chinese Medicine, 2022, 45（12）: 1242–1248.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QI XZ, YAN MQ. Study on the relation between sleep status and the constitution of traditional Chinese medicine among naval special service personnel. Journal of Navy Medicine, 2023, 44（1）: 7–11.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 L, ZHOU ZJ, SONG YH, et al. Study on the identification model of traditional Chinese medicine constitutions based on ML-KNN multi-label learning. Modernization of Traditional Chinese Medicine and Materia Medica-World Science and Technology, 2020, 22（10）: 3558–3562.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LL, XUE Y, WANG YP, et al. Application of TCM constitution identification in health management of preventive treatment of disease in TCM. China Journal of Traditional Chinese Medicine and Pharmacy, 2018, 33（10）: 4595–4598.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ZHOU SJ, TU YQ, HUANG ZP, et al. Study on the auxiliary identification of TCM constitution based on tongue image feature extraction. Lishizhen Medicine and Materia Medica Research, 2013, 24（11）: 2734–2735.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ZHOU H, HU G, ZHANG X. Constitution identification of tongue image based on CNN. 2018 11th International Congress on Image and Signal Processing. BioMedical Engineering and Informatics （CISP-BMEI）, 2018: 1-5.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YU ZT. Research on traditional Chinese medicine constitution identification algorithm based on neural network. Nanjing: Nanjing University of Science &amp; Technology, 2021.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LIANG YM. Research on automatic identification system of TCM constitution based on facial image feature. Beijing: Beijing University of Technology, 2016.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S, XU Y, GUAN X, et al. Analysis and research on characteristics of face diagnosis image of people with Yin-deficiency and Yang-deficiency constitution. Journal of Basic Chinese Medicine, 2021, 27（7）: 1141–1144.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PRAKASH SR, SINGH PN. Background region based face orientation prediction through HSV skin color model and K-Means clustering. International Journal of Information Technology, 2023, 15（3）: 1275–1288.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XG, LI XZ, REN Y, et al. Classification of traditional Chinese medicine constitution and questionnaire: application and research. Chinese Journal of Integrated Traditional and Western Medicine, 2017, 37（8）: 1003–1007.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LU GL, HUANG YS, ZHANG Q, et al. The study of auxiliary TCM constitution identification model based on tongue image and physical features. Lishizhen Medicine and Materia Medica Research, 2019, 30（1）: 244–246.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PAN SX, LIN Y, ZHOU SJ, et al. The study of traditional Chinese medical constitution identification models based on artificial neural network and support vector machine. Modernization of Traditional Chinese Medicine and Materia Medica-World Science and Technology, 2020, 22（4）: 1341–1347.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PUSHPA BR, ADARSH A, SHREE HA. Plant disease detection and classification using deep learning model. 2021 Third International Conference on Inventive Research in Computing Applications （ICIRCA）, 2021: 1285-1291.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ATILA Ü, UÇAR M, AKYOL K, et al. Plant leaf disease classification using EfficientNet deep learning model. Ecological Informatics, 2021, 61: 101182.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DONG C, ZHANG ZW, YUE J, et al. Classification of strawberry diseases and pests by improved AlexNet deep learning networks. 2021 13th International Conference on Advanced Computational Intelligence （ICACI）. IEEE, 2021: 359-364.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KRIZHEVSKY A, SUTSKEVER I, HINTON GE. Imagenet classification with deep convolutional neural networks. Advances in Neural Information Processing Systems, 2012: 25.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HE KM, ZHANG XY, REN SQ, et al. Deep residual learning for image recognition. Proceedings of the IEEE Conference on Computer Vision and Pattern Recognition, 2016: 770-778.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WN, FU YL, ZHU DM. ResNet and its application to medical image processing: research progress and challenges. Computer Methods and Programs in Biomedicine, 2023, 240: 107660.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 T, MIN R. A swin transformer based framework for shape recognition. Proceedings of the 2022 14th International Conference on Machine Learning and Computing, 2022: 388-393.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Z, LIN YT, CAO Y, et al. Swin transformer: hierarchical vision transformer using shifted windows. Proceedings of the IEEE/CVF International Conference on Computer Vision, 2021: 10012-10022.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SIMONYAN K, ZISSERMAN A. Very deep convolutional networks for large-scale image recognition. arXiv, 2014. doi: 10.48550/arXiv.1409.1556.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ZHOU H, HU GQ, ZHANG XF. Preliminary study on traditional Chinese medicine constitution classification method based on tongue image feature fusion. Beijing Biomedical Engineering, 2020, 39（3）: 221–226.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ZHOU H, ZHANG XF, HU GQ, et al. Preliminary study on classification of traditional Chinese medicine constitution types based on feature fusion of dual-channel network. Proceedings of the 13th National Academic Symposium of the Diagnostic Professional Committee of the China Association of Chinese and Western Medicine. China Association of Chinese and Western Medicine, 2019: 19.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China Association of Chinese Medicine. Classification and determination of TCM constitution. Beijing: China Traditional Chinese Medicine Press, 2009.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SUN YY, XIE W, JIA QN, et al. Study on the characteristics of infrared thermal imaging of hand and face in the people with constitution of Yang-deficiency or Yin-deficiency. Modern Journal of Integrated Traditional Chinese and Western Medicine, 2020, 29（31）: 3427–3431, 3450.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ZHANG Y, GUO Z, WU J, et al. Real-time vehicle detection based on improved YOLO v5. Sustainability, 2022, 14（19）: 12274.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ZHANG YZ, WANG Y, CHENG P, et al. Identification method of gardeniae fructus praeparatus processing degree based on color features and support vector machine. China Journal of Traditional Chinese Medicine and Pharmacy, 2023, 38（8）: 3768–3772.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HU YC, LI QS. Face recognition method based on haar-like T and LBP features. Automation &amp; Instrumentation, 2023, 38（10）: 52–56, 61.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OJALA T, PIETIKAINEN M, MAENPAA T. Multiresolution gray-scale and rotation invariant texture classification with local binary patterns. IEEE Transactions on Pattern Analysis and Machine Intelligence, 2002, 24（7）: 971–987.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HAO ZY. Image texture feature extraction method and application based on LBP. Taiyuan: Taiyuan University of Science &amp; Technology, 2023.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WOO S, PARK J, LEE JY, et al. CBAM: convolutional block attention module. Proceedings of the European Conference on Computer Vision （ECCV）, 2018: 3-19.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YB, GAO WB, HE P, et al. Apple phenological period identification in natural environment based on improved ResNet50 model. Smart Agriculture, 2023, 5（2）: 13–22.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HUANG L, ZHANG H, HU XL, et al. Recognition and localization method for pepper clusters in complex environments based on improved YOLOv5. Transactions of the Chinese Society for Agricultural Machinery, 2024, 55（3）: 243–251.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K, WANG AZ. Survey on regularization methods for convolutional neural network. Application Research of Computers, 2024, 41（4）: 961–969.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BREIMAN L. Random forests. Machine Learning, 2001, 45（1）: 5–32.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RECHT B, ROELOFS R, SCHMIDT L, et al. Do CIFAR-10 classifiers generalize to CIFAR-10, arXiv, 2018. doi: 10.48550/arXiv.1806.00451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LOSHCHILOV I, HUTTER F. Decoupled weight decay regularization. arXiv, 2017. doi: 10.48550/arXiv.1711.05101.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ZY, LI HY, ZHOU ZJ, et al. Research of identifying traditional Chinese medicine constitution model based on human skeleton feature. Chinese Archives of Traditional Chinese Medicine, 2024, 42（8）: 37−40, 266−267.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media/image2.jpeg"
                 Type="http://schemas.openxmlformats.org/officeDocument/2006/relationships/image"/>
   <Relationship Id="rId11"
                 Target="media/image3.jpeg"
                 Type="http://schemas.openxmlformats.org/officeDocument/2006/relationships/image"/>
   <Relationship Id="rId12"
                 Target="media/image4.jpeg"
                 Type="http://schemas.openxmlformats.org/officeDocument/2006/relationships/image"/>
   <Relationship Id="rId13"
                 Target="media/image5.jpeg"
                 Type="http://schemas.openxmlformats.org/officeDocument/2006/relationships/image"/>
   <Relationship Id="rId14"
                 Target="media/image6.jpeg"
                 Type="http://schemas.openxmlformats.org/officeDocument/2006/relationships/image"/>
   <Relationship Id="rId15"
                 Target="media/image7.jpeg"
                 Type="http://schemas.openxmlformats.org/officeDocument/2006/relationships/image"/>
   <Relationship Id="rId16"
                 Target="media/image8.jpeg"
                 Type="http://schemas.openxmlformats.org/officeDocument/2006/relationships/image"/>
   <Relationship Id="rId17"
                 Target="media/image9.jpeg"
                 Type="http://schemas.openxmlformats.org/officeDocument/2006/relationships/image"/>
   <Relationship Id="rId18"
                 Target="media/image10.jpeg"
                 Type="http://schemas.openxmlformats.org/officeDocument/2006/relationships/image"/>
   <Relationship Id="rId19"
                 Target="media/image11.jpeg"
                 Type="http://schemas.openxmlformats.org/officeDocument/2006/relationships/image"/>
   <Relationship Id="rId2"
                 Target="styles.xml"
                 Type="http://schemas.openxmlformats.org/officeDocument/2006/relationships/styles"/>
   <Relationship Id="rId20"
                 Target="media/image12.jpeg"
                 Type="http://schemas.openxmlformats.org/officeDocument/2006/relationships/image"/>
   <Relationship Id="rId21"
                 Target="media/image13.jpeg"
                 Type="http://schemas.openxmlformats.org/officeDocument/2006/relationships/image"/>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 Id="rId9"
                 Target="media/image1.jpe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