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body>
    <w:p w14:paraId="06110F54" w14:textId="77777777" w:rsidP="00EC616F" w:rsidR="005B3B61" w:rsidRDefault="005B3B61" w:rsidRPr="005B3B61">
      <w:pPr>
        <w:spacing w:line="360" w:lineRule="auto"/>
        <w:rPr>
          <w:rFonts w:ascii="Times New Roman" w:hAnsi="Times New Roman"/>
          <w:sz w:val="24"/>
          <w:szCs w:val="24"/>
        </w:rPr>
      </w:pPr>
    </w:p>
    <w:p w14:paraId="5785D052" w14:textId="0ABE7646" w:rsidP="00FB0A40" w:rsidR="00232F4C" w:rsidRDefault="004E17ED" w:rsidRPr="006A6915">
      <w:pPr>
        <w:spacing w:line="276" w:lineRule="auto"/>
        <w:jc w:val="left"/>
        <w:rPr>
          <w:rFonts w:ascii="Times New Roman" w:hAnsi="Times New Roman"/>
          <w:b/>
          <w:color w:val="000000"/>
          <w:sz w:val="30"/>
          <w:szCs w:val="30"/>
        </w:rPr>
      </w:pPr>
      <w:r w:rsidRPr="006A6915">
        <w:rPr>
          <w:rFonts w:ascii="Times New Roman" w:hAnsi="Times New Roman"/>
          <w:b/>
          <w:color w:val="000000"/>
          <w:sz w:val="30"/>
          <w:szCs w:val="30"/>
        </w:rPr>
        <w:t>The enlightenment of artificial intelligence large-scale model on the research of intelligent eye diagnosis in traditional Chinese medicine</w:t>
      </w:r>
    </w:p>
    <w:p w14:paraId="5F09FCC2" w14:textId="578CF024" w:rsidP="00DB059D" w:rsidR="00DB059D" w:rsidRDefault="00DB059D">
      <w:pPr>
        <w:widowControl/>
        <w:shd w:color="auto" w:fill="FFFFFF" w:val="clear"/>
        <w:spacing w:line="360" w:lineRule="auto"/>
        <w:jc w:val="left"/>
        <w:rPr>
          <w:rFonts w:ascii="Times New Roman" w:hAnsi="Times New Roman"/>
          <w:sz w:val="24"/>
          <w:szCs w:val="24"/>
        </w:rPr>
      </w:pPr>
      <w:r>
        <w:rPr>
          <w:rFonts w:ascii="Times New Roman" w:hAnsi="Times New Roman"/>
          <w:sz w:val="24"/>
          <w:szCs w:val="24"/>
        </w:rPr>
        <w:t xml:space="preserve">GAO Yuan</w:t>
      </w:r>
      <w:proofErr w:type="gramStart"/>
      <w:proofErr w:type="gramEnd"/>
      <w:proofErr w:type="spellStart"/>
      <w:proofErr w:type="spellEnd"/>
      <w:r>
        <w:rPr>
          <w:rFonts w:ascii="Times New Roman" w:hAnsi="Times New Roman"/>
          <w:sz w:val="24"/>
          <w:szCs w:val="24"/>
          <w:vertAlign w:val="superscript"/>
        </w:rPr>
        <w:t>1, 2</w:t>
      </w:r>
      <w:r>
        <w:rPr>
          <w:rFonts w:ascii="Times New Roman" w:hAnsi="Times New Roman"/>
          <w:sz w:val="24"/>
          <w:szCs w:val="24"/>
        </w:rPr>
        <w:t>, WU Zixuan</w:t>
      </w:r>
      <w:r>
        <w:rPr>
          <w:rFonts w:ascii="Times New Roman" w:hAnsi="Times New Roman"/>
          <w:sz w:val="24"/>
          <w:szCs w:val="24"/>
          <w:vertAlign w:val="superscript"/>
        </w:rPr>
        <w:t>1</w:t>
      </w:r>
      <w:r>
        <w:rPr>
          <w:rFonts w:ascii="Times New Roman" w:hAnsi="Times New Roman"/>
          <w:sz w:val="24"/>
          <w:szCs w:val="24"/>
        </w:rPr>
        <w:t>, SHENG Boyang</w:t>
      </w:r>
      <w:r>
        <w:rPr>
          <w:rFonts w:ascii="Times New Roman" w:hAnsi="Times New Roman"/>
          <w:sz w:val="24"/>
          <w:szCs w:val="24"/>
          <w:vertAlign w:val="superscript"/>
        </w:rPr>
        <w:t>1</w:t>
      </w:r>
      <w:r>
        <w:rPr>
          <w:rFonts w:ascii="Times New Roman" w:hAnsi="Times New Roman"/>
          <w:sz w:val="24"/>
          <w:szCs w:val="24"/>
        </w:rPr>
        <w:t>, ZHANG Fu</w:t>
      </w:r>
      <w:r>
        <w:rPr>
          <w:rFonts w:ascii="Times New Roman" w:hAnsi="Times New Roman"/>
          <w:sz w:val="24"/>
          <w:szCs w:val="24"/>
          <w:vertAlign w:val="superscript"/>
        </w:rPr>
        <w:t>2</w:t>
      </w:r>
      <w:r>
        <w:rPr>
          <w:rFonts w:ascii="Times New Roman" w:hAnsi="Times New Roman"/>
          <w:sz w:val="24"/>
          <w:szCs w:val="24"/>
        </w:rPr>
        <w:t>, CHENG Yong</w:t>
      </w:r>
      <w:r>
        <w:rPr>
          <w:rFonts w:ascii="Times New Roman" w:hAnsi="Times New Roman"/>
          <w:sz w:val="24"/>
          <w:szCs w:val="24"/>
          <w:vertAlign w:val="superscript"/>
        </w:rPr>
        <w:t>2</w:t>
      </w:r>
      <w:r>
        <w:rPr>
          <w:rFonts w:ascii="Times New Roman" w:hAnsi="Times New Roman"/>
          <w:sz w:val="24"/>
          <w:szCs w:val="24"/>
        </w:rPr>
        <w:t>, YAN Junfeng</w:t>
      </w:r>
      <w:r>
        <w:rPr>
          <w:rFonts w:ascii="Times New Roman" w:hAnsi="Times New Roman"/>
          <w:sz w:val="24"/>
          <w:szCs w:val="24"/>
          <w:vertAlign w:val="superscript"/>
        </w:rPr>
        <w:t>3, *</w:t>
      </w:r>
      <w:r>
        <w:rPr>
          <w:rFonts w:ascii="Times New Roman" w:hAnsi="Times New Roman"/>
          <w:sz w:val="24"/>
          <w:szCs w:val="24"/>
        </w:rPr>
        <w:t>, PENG Qinghua</w:t>
      </w:r>
      <w:r>
        <w:rPr>
          <w:rFonts w:ascii="Times New Roman" w:hAnsi="Times New Roman"/>
          <w:sz w:val="24"/>
          <w:szCs w:val="24"/>
          <w:vertAlign w:val="superscript"/>
        </w:rPr>
        <w:t>1, *</w:t>
      </w:r>
    </w:p>
    <w:p w14:paraId="54E57882" w14:textId="77777777" w:rsidP="00477AEE" w:rsidR="007D77F0" w:rsidRDefault="007D77F0" w:rsidRPr="007D77F0">
      <w:pPr>
        <w:widowControl/>
        <w:shd w:color="auto" w:fill="FFFFFF" w:val="clear"/>
        <w:jc w:val="left"/>
        <w:rPr>
          <w:rFonts w:ascii="Times New Roman" w:hAnsi="Times New Roman"/>
          <w:color w:val="000000"/>
          <w:kern w:val="0"/>
          <w:sz w:val="24"/>
          <w:szCs w:val="24"/>
        </w:rPr>
      </w:pPr>
    </w:p>
    <w:p>
      <w:pPr>
        <w:spacing w:line="276" w:lineRule="auto"/>
        <w:jc w:val="left"/>
        <w:rPr>
          <w:rFonts w:ascii="Times New Roman" w:hAnsi="Times New Roman"/>
          <w:sz w:val="24"/>
          <w:szCs w:val="24"/>
        </w:rPr>
      </w:pPr>
      <w:r>
        <w:rPr>
          <w:rFonts w:ascii="Times New Roman" w:hAnsi="Times New Roman"/>
          <w:sz w:val="24"/>
          <w:szCs w:val="24"/>
        </w:rPr>
        <w:t>1. School of Chinese Medicine, Hunan University of Chinese Medicine, Changsha, Hunan 410208, China</w:t>
      </w:r>
    </w:p>
    <w:p>
      <w:pPr>
        <w:spacing w:line="276" w:lineRule="auto"/>
        <w:jc w:val="left"/>
        <w:rPr>
          <w:rFonts w:ascii="Times New Roman" w:hAnsi="Times New Roman"/>
          <w:sz w:val="24"/>
          <w:szCs w:val="24"/>
        </w:rPr>
      </w:pPr>
      <w:r>
        <w:rPr>
          <w:rFonts w:ascii="Times New Roman" w:hAnsi="Times New Roman"/>
          <w:sz w:val="24"/>
          <w:szCs w:val="24"/>
        </w:rPr>
        <w:t>2. Department of Preventive Treatment of Disease, People’s Hospital Affiliated to Fujian University of Traditional Chinese Medicine, Fuzhou, Fujian 350004, China</w:t>
      </w:r>
    </w:p>
    <w:p>
      <w:pPr>
        <w:spacing w:line="276" w:lineRule="auto"/>
        <w:jc w:val="left"/>
        <w:rPr>
          <w:rFonts w:ascii="Times New Roman" w:hAnsi="Times New Roman"/>
          <w:sz w:val="24"/>
          <w:szCs w:val="24"/>
        </w:rPr>
      </w:pPr>
      <w:r>
        <w:rPr>
          <w:rFonts w:ascii="Times New Roman" w:hAnsi="Times New Roman"/>
          <w:sz w:val="24"/>
          <w:szCs w:val="24"/>
        </w:rPr>
        <w:t>3. School of Informatics, Hunan University of Chinese Medicine, Changsha, Hunan 410208, China</w:t>
      </w:r>
    </w:p>
    <w:p w14:paraId="07B330E1" w14:textId="7DCA9AFD" w:rsidP="000E2E77" w:rsidR="00A57AA8" w:rsidRDefault="00A57AA8" w:rsidRPr="00DB059D">
      <w:pPr>
        <w:widowControl/>
        <w:shd w:color="auto" w:fill="FFFFFF" w:val="clear"/>
        <w:jc w:val="left"/>
        <w:rPr>
          <w:rFonts w:ascii="Times New Roman" w:hAnsi="Times New Roman"/>
          <w:color w:val="000000"/>
          <w:kern w:val="0"/>
          <w:sz w:val="24"/>
          <w:szCs w:val="24"/>
        </w:rPr>
      </w:pPr>
    </w:p>
    <w:p w14:paraId="5CC12241" w14:textId="144DC266" w:rsidP="007A33CA" w:rsidR="000E2E77" w:rsidRDefault="000E2E77">
      <w:pPr>
        <w:spacing w:line="276" w:lineRule="auto"/>
        <w:jc w:val="left"/>
        <w:rPr>
          <w:rFonts w:ascii="Times New Roman" w:hAnsi="宋体"/>
          <w:sz w:val="24"/>
          <w:szCs w:val="24"/>
        </w:rPr>
      </w:pPr>
      <w:r>
        <w:rPr>
          <w:rFonts w:ascii="Times New Roman" w:hAnsi="宋体" w:hint="eastAsia"/>
          <w:sz w:val="24"/>
          <w:szCs w:val="24"/>
        </w:rPr>
        <w:t/>
      </w:r>
      <w:proofErr w:type="spellStart"/>
      <w:proofErr w:type="spellEnd"/>
      <w:r>
        <w:rPr>
          <w:rFonts w:ascii="Times New Roman" w:hAnsi="宋体" w:hint="eastAsia"/>
          <w:sz w:val="24"/>
          <w:szCs w:val="24"/>
          <w:vertAlign w:val="superscript"/>
        </w:rPr>
        <w:t>*</w:t>
      </w:r>
      <w:r>
        <w:rPr>
          <w:rFonts w:ascii="Times New Roman" w:hAnsi="宋体" w:hint="eastAsia"/>
          <w:b w:val="true"/>
          <w:sz w:val="24"/>
          <w:szCs w:val="24"/>
        </w:rPr>
        <w:t>Corresponding author:</w:t>
      </w:r>
      <w:r>
        <w:rPr>
          <w:rFonts w:ascii="Times New Roman" w:hAnsi="宋体" w:hint="eastAsia"/>
          <w:sz w:val="24"/>
          <w:szCs w:val="24"/>
        </w:rPr>
        <w:t xml:space="preserve"> E-mail: teacheryan@qq.com  E-mail: pqh410007@126.com  </w:t>
      </w:r>
    </w:p>
    <w:p w14:paraId="5E43518B" w14:textId="2A2C07C1" w:rsidP="00A31BB0" w:rsidR="00A31BB0" w:rsidRDefault="00A31BB0">
      <w:pPr>
        <w:spacing w:line="360" w:lineRule="auto"/>
        <w:jc w:val="left"/>
        <w:rPr>
          <w:rFonts w:ascii="Times New Roman" w:hAnsi="宋体"/>
          <w:sz w:val="24"/>
          <w:szCs w:val="24"/>
        </w:rPr>
      </w:pPr>
      <w:r w:rsidRPr="005A0E05">
        <w:rPr>
          <w:rFonts w:ascii="Times New Roman" w:hAnsi="宋体"/>
          <w:sz w:val="24"/>
          <w:szCs w:val="24"/>
        </w:rPr>
        <w:t xml:space="preserve">Manuscript received 2024-2-2; accepted 2024-5-20; </w:t>
      </w:r>
      <w:proofErr w:type="spellStart"/>
      <w:proofErr w:type="spellEnd"/>
      <w:proofErr w:type="spellStart"/>
      <w:proofErr w:type="spellEnd"/>
    </w:p>
    <w:p w14:paraId="06278AC4" w14:textId="63718855" w:rsidP="00A31BB0" w:rsidR="00A31BB0" w:rsidRDefault="00A31BB0" w:rsidRPr="00A31BB0">
      <w:pPr>
        <w:spacing w:line="360" w:lineRule="auto"/>
        <w:jc w:val="left"/>
        <w:rPr>
          <w:rFonts w:ascii="Times New Roman" w:hAnsi="宋体"/>
          <w:sz w:val="24"/>
          <w:szCs w:val="24"/>
        </w:rPr>
      </w:pPr>
      <w:r>
        <w:rPr>
          <w:rFonts w:ascii="Times New Roman" w:hAnsi="宋体"/>
          <w:sz w:val="24"/>
          <w:szCs w:val="24"/>
        </w:rPr>
        <w:t xml:space="preserve">available online 2024-6-25.</w:t>
      </w:r>
      <w:proofErr w:type="spellStart"/>
      <w:proofErr w:type="spellEnd"/>
    </w:p>
    <w:p w14:paraId="5E69E551" w14:textId="77777777" w:rsidP="00E3596C" w:rsidR="00E3596C" w:rsidRDefault="00E3596C">
      <w:pPr>
        <w:jc w:val="left"/>
        <w:rPr>
          <w:rFonts w:ascii="Times New Roman" w:hAnsi="宋体"/>
          <w:sz w:val="24"/>
          <w:szCs w:val="24"/>
        </w:rPr>
      </w:pPr>
    </w:p>
    <w:p w14:paraId="1217AA18" w14:textId="536FEBEE" w:rsidP="00E3596C" w:rsidR="00E3596C" w:rsidRDefault="00E3596C">
      <w:pPr>
        <w:spacing w:line="276" w:lineRule="auto"/>
        <w:jc w:val="left"/>
        <w:rPr>
          <w:rFonts w:ascii="Times New Roman" w:hAnsi="宋体"/>
          <w:sz w:val="24"/>
          <w:szCs w:val="24"/>
        </w:rPr>
      </w:pPr>
      <w:r w:rsidRPr="00952A11">
        <w:rPr>
          <w:rFonts w:ascii="Times New Roman" w:hAnsi="宋体"/>
          <w:sz w:val="24"/>
          <w:szCs w:val="24"/>
        </w:rPr>
        <w:t/>
      </w:r>
      <w:proofErr w:type="spellStart"/>
      <w:proofErr w:type="spellEnd"/>
    </w:p>
    <w:p w14:paraId="07BAF9A2" w14:textId="20B68F86" w:rsidP="00AA655E" w:rsidR="00AA655E" w:rsidRDefault="00AA655E">
      <w:pPr>
        <w:spacing w:line="360" w:lineRule="auto"/>
        <w:jc w:val="left"/>
        <w:rPr>
          <w:rFonts w:ascii="Times New Roman" w:hAnsi="宋体"/>
          <w:sz w:val="24"/>
          <w:szCs w:val="24"/>
        </w:rPr>
      </w:pPr>
      <w:r w:rsidRPr="00952A11">
        <w:rPr>
          <w:rFonts w:ascii="Times New Roman" w:hAnsi="宋体"/>
          <w:sz w:val="24"/>
          <w:szCs w:val="24"/>
        </w:rPr>
        <w:t/>
      </w:r>
      <w:proofErr w:type="spellStart"/>
      <w:proofErr w:type="spellEnd"/>
    </w:p>
    <w:p w14:paraId="32031A72" w14:textId="77777777" w:rsidP="00952A11" w:rsidR="00952A11" w:rsidRDefault="00952A11" w:rsidRPr="00952A11">
      <w:pPr>
        <w:jc w:val="left"/>
        <w:rPr>
          <w:rFonts w:ascii="Times New Roman" w:hAnsi="宋体"/>
          <w:sz w:val="24"/>
          <w:szCs w:val="24"/>
        </w:rPr>
      </w:pPr>
    </w:p>
    <w:p w14:paraId="04A9E205" w14:textId="1A534137" w:rsidP="002C0F41" w:rsidR="00100EF1" w:rsidRDefault="00E559E8">
      <w:pPr>
        <w:autoSpaceDE w:val="0"/>
        <w:autoSpaceDN w:val="0"/>
        <w:adjustRightInd w:val="0"/>
        <w:spacing w:line="276" w:lineRule="auto"/>
        <w:jc w:val="left"/>
        <w:rPr>
          <w:rFonts w:ascii="Times New Roman" w:hAnsi="宋体"/>
          <w:sz w:val="24"/>
          <w:szCs w:val="24"/>
        </w:rPr>
      </w:pPr>
      <w:r>
        <w:rPr>
          <w:rFonts w:ascii="Times New Roman" w:hAnsi="Times New Roman" w:hint="eastAsia"/>
          <w:b/>
          <w:color w:val="000000"/>
          <w:sz w:val="24"/>
          <w:szCs w:val="24"/>
        </w:rPr>
        <w:t xml:space="preserve">[Abstract]  </w:t>
      </w:r>
      <w:proofErr w:type="gramStart"/>
      <w:r w:rsidR="00156DB6" w:rsidRPr="00BB3994">
        <w:rPr>
          <w:rFonts w:ascii="Times New Roman" w:hAnsi="宋体"/>
          <w:sz w:val="24"/>
          <w:szCs w:val="24"/>
        </w:rPr>
        <w:t xml:space="preserve">          Eye diagnosis is a method for inspecting systemic diseases and syndromes by observing the eyes. With the development of intelligent diagnosis in traditional Chinese medicine (TCM), artificial intelligence (AI) can improve the accuracy and efficiency of eye diagnosis. However, the research on intelligent eye diagnosis still faces many challenges, including the lack of standardized and precisely labeled data, multi-modal information analysis, and artificial intelligence models for syndrome differentiation. The widespread application of AI models in medicine provides new insights and opportunities for the research of eye diagnosis intelligence. This study elaborates on the three key technologies of AI models in the intelligent application of TCM eye diagnosis, and explores the implications for the research of eye diagnosis intelligence. First, a database concerning eye diagnosis was established based on self-supervised learning so as to solve the issues related to the lack of standardized and precisely labeled data. Next, the cross-modal understanding and generation of deep neural network models to address the problem of lacking multi-modal information analysis. Last, the building of data-driven models for eye diagnosis to tackle the issue of the absence of syndrome differentiation models. In summary, research on intelligent eye diagnosis has great potential to be applied the surge of AI model applications.       </w:t>
      </w:r>
      <w:proofErr w:type="gramEnd"/>
    </w:p>
    <w:p w14:paraId="2370A8A6" w14:textId="77777777" w:rsidP="002C0F41" w:rsidR="002C0F41" w:rsidRDefault="002C0F41" w:rsidRPr="001A791D">
      <w:pPr>
        <w:autoSpaceDE w:val="0"/>
        <w:autoSpaceDN w:val="0"/>
        <w:adjustRightInd w:val="0"/>
        <w:jc w:val="left"/>
        <w:rPr>
          <w:rFonts w:ascii="Times New Roman" w:hAnsi="Times New Roman"/>
          <w:color w:val="000000"/>
          <w:sz w:val="24"/>
          <w:szCs w:val="24"/>
        </w:rPr>
      </w:pPr>
    </w:p>
    <w:p w14:paraId="11240660" w14:textId="037409EA" w:rsidP="002C0F41" w:rsidR="00496C93" w:rsidRDefault="0053570B">
      <w:pPr>
        <w:autoSpaceDE w:val="0"/>
        <w:autoSpaceDN w:val="0"/>
        <w:adjustRightInd w:val="0"/>
        <w:spacing w:line="276" w:lineRule="auto"/>
        <w:jc w:val="left"/>
        <w:rPr>
          <w:rFonts w:ascii="Times New Roman" w:hAnsi="Times New Roman"/>
          <w:sz w:val="24"/>
          <w:szCs w:val="24"/>
        </w:rPr>
      </w:pPr>
      <w:r w:rsidRPr="00232F4C">
        <w:rPr>
          <w:rFonts w:ascii="Times New Roman" w:hAnsi="Times New Roman"/>
          <w:b/>
          <w:color w:val="000000"/>
          <w:sz w:val="24"/>
          <w:szCs w:val="24"/>
        </w:rPr>
        <w:t xml:space="preserve">[Key words] </w:t>
      </w:r>
      <w:r w:rsidR="00156DB6" w:rsidRPr="002500D0">
        <w:rPr>
          <w:rFonts w:ascii="Times New Roman" w:hAnsi="Times New Roman" w:hint="eastAsia"/>
          <w:sz w:val="24"/>
          <w:szCs w:val="24"/>
        </w:rPr>
        <w:t xml:space="preserve">Traditional Chinese medicine (TCM); Eye diagnosis; Artificial intelligence (AI); Large-scale model; Self-supervised learning; Deep neural network</w:t>
      </w:r>
      <w:proofErr w:type="gramStart"/>
      <w:proofErr w:type="gramEnd"/>
      <w:proofErr w:type="spellStart"/>
      <w:proofErr w:type="spellEnd"/>
    </w:p>
    <w:p w14:paraId="15AD1AF2" w14:textId="514E286A" w:rsidP="00F73EB3" w:rsidR="00F73EB3" w:rsidRDefault="00F73EB3" w:rsidRPr="00F73EB3">
      <w:pPr>
        <w:autoSpaceDE w:val="0"/>
        <w:autoSpaceDN w:val="0"/>
        <w:adjustRightInd w:val="0"/>
        <w:spacing w:line="480" w:lineRule="auto"/>
        <w:jc w:val="left"/>
        <w:rPr>
          <w:rFonts w:ascii="Times New Roman" w:hAnsi="Times New Roman"/>
          <w:sz w:val="24"/>
          <w:szCs w:val="24"/>
        </w:rPr>
      </w:pPr>
      <w:r w:rsidRPr="00232F4C">
        <w:rPr>
          <w:rFonts w:ascii="Times New Roman" w:hAnsi="Times New Roman"/>
          <w:b/>
          <w:color w:val="000000"/>
          <w:sz w:val="24"/>
          <w:szCs w:val="24"/>
        </w:rPr>
        <w:t xml:space="preserve">[DOI] </w:t>
      </w:r>
      <w:r w:rsidRPr="002500D0">
        <w:rPr>
          <w:rFonts w:ascii="Times New Roman" w:hAnsi="Times New Roman" w:hint="eastAsia"/>
          <w:sz w:val="24"/>
          <w:szCs w:val="24"/>
        </w:rPr>
        <w:t>10.1016/j.dcmed.2024.09.001</w:t>
      </w:r>
      <w:proofErr w:type="spellStart"/>
      <w:proofErr w:type="spellEnd"/>
    </w:p>
    <w:p w14:paraId="09ADCC5F" w14:textId="77777777" w:rsidP="005620D6" w:rsidR="005620D6" w:rsidRDefault="005620D6">
      <w:pPr>
        <w:spacing w:line="276" w:lineRule="auto"/>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32"/>
          <w:szCs w:val="32"/>
        </w:rPr>
        <w:t>1  Introduction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Eye diagnosis is a method for inspecting systemic diseases by observing the eyes </w:t>
      </w:r>
      <w:r>
        <w:rPr>
          <w:rFonts w:ascii="Times New Roman" w:hAnsi="宋体" w:hint="eastAsia"/>
          <w:sz w:val="24"/>
          <w:szCs w:val="24"/>
          <w:vertAlign w:val="superscript"/>
        </w:rPr>
        <w:t>[</w:t>
      </w:r>
      <w:r>
        <w:rPr>
          <w:rFonts w:ascii="Times New Roman" w:hAnsi="宋体" w:hint="eastAsia"/>
          <w:sz w:val="24"/>
          <w:szCs w:val="24"/>
          <w:vertAlign w:val="superscript"/>
        </w:rPr>
        <w:t>1</w:t>
      </w:r>
      <w:r>
        <w:rPr>
          <w:rFonts w:ascii="Times New Roman" w:hAnsi="宋体" w:hint="eastAsia"/>
          <w:sz w:val="24"/>
          <w:szCs w:val="24"/>
          <w:vertAlign w:val="superscript"/>
        </w:rPr>
        <w:t>]</w:t>
      </w:r>
      <w:r>
        <w:rPr>
          <w:rFonts w:ascii="Times New Roman" w:hAnsi="宋体" w:hint="eastAsia"/>
          <w:sz w:val="24"/>
          <w:szCs w:val="24"/>
        </w:rPr>
        <w:t>, which includes looking at the eyes to see their appearance, color, and shape. However, its accuracy and consistency are often disputed due to its high reliance on the subjective experience and judgment of doctors. Therefore, the objectification and standardization of eye diagnosis have become urgent issues to be addressed.</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With the advancement of computer technologies, artificial intelligence (AI) has made its way into the public view, offering new possibilities for the objectification and standardization of eye diagnosis. The advent of AI has enabled intelligent analysis of information from eye diagnosis by simulating the human thinking process, thus making up for the deficiencies of eye diagnosis in objectification and standardization to a certain extent. Currently, research on intelligent eye diagnosis faces a series of challenges. First, the lack of standardized and strictly labeled datasets is an urgent problem to be solved. In the absence of sufficient and high-quality training data, it is difficult for AI large-scale models to effectively extract and learn accurate information for diagnosis. Second, the lack of analysis on multimodal information limits the scope of research on intelligent eye diagnosis as well. Eye diagnosis involves the observation of multiple aspects such as the appearance, color, and shape of the eyes. This type of information is often stored in images or texts, if not obtained by face-to-face observation. However, existing AI large-scale models usually find it hard to process information stored in such ways </w:t>
      </w:r>
      <w:r>
        <w:rPr>
          <w:rFonts w:ascii="Times New Roman" w:hAnsi="宋体" w:hint="eastAsia"/>
          <w:sz w:val="24"/>
          <w:szCs w:val="24"/>
          <w:vertAlign w:val="superscript"/>
        </w:rPr>
        <w:t>[</w:t>
      </w:r>
      <w:r>
        <w:rPr>
          <w:rFonts w:ascii="Times New Roman" w:hAnsi="宋体" w:hint="eastAsia"/>
          <w:sz w:val="24"/>
          <w:szCs w:val="24"/>
          <w:vertAlign w:val="superscript"/>
        </w:rPr>
        <w:t>2</w:t>
      </w:r>
      <w:r>
        <w:rPr>
          <w:rFonts w:ascii="Times New Roman" w:hAnsi="宋体" w:hint="eastAsia"/>
          <w:sz w:val="24"/>
          <w:szCs w:val="24"/>
          <w:vertAlign w:val="superscript"/>
        </w:rPr>
        <w:t>]</w:t>
      </w:r>
      <w:r>
        <w:rPr>
          <w:rFonts w:ascii="Times New Roman" w:hAnsi="宋体" w:hint="eastAsia"/>
          <w:sz w:val="24"/>
          <w:szCs w:val="24"/>
        </w:rPr>
        <w:t xml:space="preserve">. In addition, the lack of symbolic features for AI models to discriminate information effectively is also a major challenge for intelligent eye diagnosis. These difficulties and challenges altogether hinder the development and applications of intelligent eye diagnosis in clinical settings. However, as AI technologies advance, new opportunities and breakthroughs have been presented in the field of research on intelligent eye diagnosis </w:t>
      </w:r>
      <w:r>
        <w:rPr>
          <w:rFonts w:ascii="Times New Roman" w:hAnsi="宋体" w:hint="eastAsia"/>
          <w:sz w:val="24"/>
          <w:szCs w:val="24"/>
          <w:vertAlign w:val="superscript"/>
        </w:rPr>
        <w:t>[</w:t>
      </w:r>
      <w:r>
        <w:rPr>
          <w:rFonts w:ascii="Times New Roman" w:hAnsi="宋体" w:hint="eastAsia"/>
          <w:sz w:val="24"/>
          <w:szCs w:val="24"/>
          <w:vertAlign w:val="superscript"/>
        </w:rPr>
        <w:t>3</w:t>
      </w:r>
      <w:r>
        <w:rPr>
          <w:rFonts w:ascii="Times New Roman" w:hAnsi="宋体" w:hint="eastAsia"/>
          <w:sz w:val="24"/>
          <w:szCs w:val="24"/>
          <w:vertAlign w:val="superscript"/>
        </w:rPr>
        <w:t>]</w:t>
      </w:r>
      <w:r>
        <w:rPr>
          <w:rFonts w:ascii="Times New Roman" w:hAnsi="宋体" w:hint="eastAsia"/>
          <w:sz w:val="24"/>
          <w:szCs w:val="24"/>
        </w:rPr>
        <w:t xml:space="preserve">. Large-scale models, based on large-scale deep neural networks, extract information from relevant subjects, acquire knowledge, and simulate human brain-like intelligence through analysis of a large amount of data and computational resources. By fitting, approximating, learning, optimizing, and analyzing the data, large-scale models can gradually learn to think like human brains, making decisions and performing a variety of tasks just as humans do </w:t>
      </w:r>
      <w:r>
        <w:rPr>
          <w:rFonts w:ascii="Times New Roman" w:hAnsi="宋体" w:hint="eastAsia"/>
          <w:sz w:val="24"/>
          <w:szCs w:val="24"/>
          <w:vertAlign w:val="superscript"/>
        </w:rPr>
        <w:t>[</w:t>
      </w:r>
      <w:r>
        <w:rPr>
          <w:rFonts w:ascii="Times New Roman" w:hAnsi="宋体" w:hint="eastAsia"/>
          <w:sz w:val="24"/>
          <w:szCs w:val="24"/>
          <w:vertAlign w:val="superscript"/>
        </w:rPr>
        <w:t>4</w:t>
      </w:r>
      <w:r>
        <w:rPr>
          <w:rFonts w:ascii="Times New Roman" w:hAnsi="宋体" w:hint="eastAsia"/>
          <w:sz w:val="24"/>
          <w:szCs w:val="24"/>
          <w:vertAlign w:val="superscript"/>
        </w:rPr>
        <w:t>]</w:t>
      </w:r>
      <w:r>
        <w:rPr>
          <w:rFonts w:ascii="Times New Roman" w:hAnsi="宋体" w:hint="eastAsia"/>
          <w:sz w:val="24"/>
          <w:szCs w:val="24"/>
        </w:rPr>
        <w:t>. For example, ChatGPT, a famous AI tool that has been fed with an enormous amount of data, has demonstrated remarkable understanding and task-performing abilities. AI large-scale models like ChatGPT can not only capture rich linguistic features in texts, but also understand and generate content in different forms, such as texts, images, and sounds, providing new perspectives and tools for research on intelligent eye diagnosis.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Therefore, in this paper, we would explore how AI large-scale  models perform tasks of self-supervised learning, cross-modal understanding, and generation, as well as how deep neural network models work. In addition, challenges faced by the research on intelligent eye diagnosis and the implications of AI large-scale  models for the research were discussed, aiming to provide new perspectives and tools for future research and practice in this regard.</w:t>
      </w:r>
    </w:p>
    <w:p>
      <w:pPr>
        <w:spacing w:before="156" w:beforeLines="50" w:line="360" w:lineRule="auto"/>
        <w:jc w:val="left"/>
        <w:rPr>
          <w:rFonts w:ascii="Times New Roman" w:hAnsi="宋体"/>
          <w:sz w:val="24"/>
          <w:szCs w:val="24"/>
        </w:rPr>
      </w:pPr>
      <w:r>
        <w:rPr>
          <w:rFonts w:ascii="Times New Roman" w:hAnsi="宋体" w:hint="eastAsia"/>
          <w:b/>
          <w:sz w:val="32"/>
          <w:szCs w:val="32"/>
        </w:rPr>
        <w:t>2  Key technologies for AI large-scale  models</w:t>
      </w:r>
    </w:p>
    <w:p>
      <w:pPr>
        <w:spacing w:before="156" w:beforeLines="50" w:line="360" w:lineRule="auto"/>
        <w:jc w:val="left"/>
        <w:rPr>
          <w:rFonts w:ascii="Times New Roman" w:hAnsi="宋体"/>
          <w:sz w:val="24"/>
          <w:szCs w:val="24"/>
        </w:rPr>
      </w:pPr>
      <w:r>
        <w:rPr>
          <w:rFonts w:ascii="Times New Roman" w:hAnsi="宋体" w:hint="eastAsia"/>
          <w:b/>
          <w:sz w:val="26"/>
          <w:szCs w:val="32"/>
        </w:rPr>
        <w:t>2.1  Self-supervised learning to overcome data labeling challenges and build AI large-scale  models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To alleviate the burden of constructing databases and improve the domain adaptation capabilities of AI large-scale  models, self-supervised learning was predominantly employed in the training of the AI models, for example, ChatGPT. Self-supervised learning distinguishes itself from both supervised and unsupervised learning, as it derives its supervisory signals directly from the data, which helps the constructed AI models understand the input data more thoroughly, thus effectively reducing the dependence of the learning process on data labels </w:t>
      </w:r>
      <w:r>
        <w:rPr>
          <w:rFonts w:ascii="Times New Roman" w:hAnsi="宋体" w:hint="eastAsia"/>
          <w:sz w:val="24"/>
          <w:szCs w:val="24"/>
          <w:vertAlign w:val="superscript"/>
        </w:rPr>
        <w:t>[</w:t>
      </w:r>
      <w:r>
        <w:rPr>
          <w:rFonts w:ascii="Times New Roman" w:hAnsi="宋体" w:hint="eastAsia"/>
          <w:sz w:val="24"/>
          <w:szCs w:val="24"/>
          <w:vertAlign w:val="superscript"/>
        </w:rPr>
        <w:t>5</w:t>
      </w:r>
      <w:r>
        <w:rPr>
          <w:rFonts w:ascii="Times New Roman" w:hAnsi="宋体" w:hint="eastAsia"/>
          <w:sz w:val="24"/>
          <w:szCs w:val="24"/>
          <w:vertAlign w:val="superscript"/>
        </w:rPr>
        <w:t>]</w:t>
      </w:r>
      <w:r>
        <w:rPr>
          <w:rFonts w:ascii="Times New Roman" w:hAnsi="宋体" w:hint="eastAsia"/>
          <w:sz w:val="24"/>
          <w:szCs w:val="24"/>
        </w:rPr>
        <w:t>. The training objective of self-supervised learning is independent of annotated labels, instead relying solely on the intrinsic structure and patterns within the data itself. This approach effectively leverages the vast amounts of unlabeled data that are readily available, enabling AI models to engage in data learning without the need for extensive human annotations. In contrast to supervised and semi-supervised learning methods that rely on human annotations, self-supervised learning enables a rapid expansion in both the parameter size and the volume of training data. This scalability significantly enhances the AI models’ generalization performance. As a result, self-supervised learning has emerged as a key element in the success of constructing AI large-scale  models. It addresses the limitations of data, allowing a wider range of applications to harness the power of deep learning techniques.</w:t>
      </w:r>
    </w:p>
    <w:p>
      <w:pPr>
        <w:spacing w:before="156" w:beforeLines="50" w:line="360" w:lineRule="auto"/>
        <w:jc w:val="left"/>
        <w:rPr>
          <w:rFonts w:ascii="Times New Roman" w:hAnsi="宋体"/>
          <w:sz w:val="24"/>
          <w:szCs w:val="24"/>
        </w:rPr>
      </w:pPr>
      <w:r>
        <w:rPr>
          <w:rFonts w:ascii="Times New Roman" w:hAnsi="宋体" w:hint="eastAsia"/>
          <w:b/>
          <w:sz w:val="26"/>
          <w:szCs w:val="32"/>
        </w:rPr>
        <w:t>2.2  Cross-modal understanding and generation-embracing the rise of the multimodal large-scale models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In 2018, Google released Bidirectional Encoder Representations from Transformers (BERT), the first unimodal language model carrying over one million parameters </w:t>
      </w:r>
      <w:r>
        <w:rPr>
          <w:rFonts w:ascii="Times New Roman" w:hAnsi="宋体" w:hint="eastAsia"/>
          <w:sz w:val="24"/>
          <w:szCs w:val="24"/>
          <w:vertAlign w:val="superscript"/>
        </w:rPr>
        <w:t>[</w:t>
      </w:r>
      <w:r>
        <w:rPr>
          <w:rFonts w:ascii="Times New Roman" w:hAnsi="宋体" w:hint="eastAsia"/>
          <w:sz w:val="24"/>
          <w:szCs w:val="24"/>
          <w:vertAlign w:val="superscript"/>
        </w:rPr>
        <w:t>6</w:t>
      </w:r>
      <w:r>
        <w:rPr>
          <w:rFonts w:ascii="Times New Roman" w:hAnsi="宋体" w:hint="eastAsia"/>
          <w:sz w:val="24"/>
          <w:szCs w:val="24"/>
          <w:vertAlign w:val="superscript"/>
        </w:rPr>
        <w:t>]</w:t>
      </w:r>
      <w:r>
        <w:rPr>
          <w:rFonts w:ascii="Times New Roman" w:hAnsi="宋体" w:hint="eastAsia"/>
          <w:sz w:val="24"/>
          <w:szCs w:val="24"/>
        </w:rPr>
        <w:t>. Since then, the research and application of large-scale  models have witnessed a rapid revolution, expanding beyond text to audio, video, and other modalities, paving the way for the emergence and prominence of multimodal large-scale  models.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Some researchers have started to construct multimodal AI large-scale models for the fusion of graphic and textual modalities using vast text and image datasets. These models, such as Stable Diffusion </w:t>
      </w:r>
      <w:r>
        <w:rPr>
          <w:rFonts w:ascii="Times New Roman" w:hAnsi="宋体" w:hint="eastAsia"/>
          <w:sz w:val="24"/>
          <w:szCs w:val="24"/>
          <w:vertAlign w:val="superscript"/>
        </w:rPr>
        <w:t>[</w:t>
      </w:r>
      <w:r>
        <w:rPr>
          <w:rFonts w:ascii="Times New Roman" w:hAnsi="宋体" w:hint="eastAsia"/>
          <w:sz w:val="24"/>
          <w:szCs w:val="24"/>
          <w:vertAlign w:val="superscript"/>
        </w:rPr>
        <w:t>7</w:t>
      </w:r>
      <w:r>
        <w:rPr>
          <w:rFonts w:ascii="Times New Roman" w:hAnsi="宋体" w:hint="eastAsia"/>
          <w:sz w:val="24"/>
          <w:szCs w:val="24"/>
          <w:vertAlign w:val="superscript"/>
        </w:rPr>
        <w:t>]</w:t>
      </w:r>
      <w:r>
        <w:rPr>
          <w:rFonts w:ascii="Times New Roman" w:hAnsi="宋体" w:hint="eastAsia"/>
          <w:sz w:val="24"/>
          <w:szCs w:val="24"/>
        </w:rPr>
        <w:t xml:space="preserve"> and ChatGPT-4 </w:t>
      </w:r>
      <w:r>
        <w:rPr>
          <w:rFonts w:ascii="Times New Roman" w:hAnsi="宋体" w:hint="eastAsia"/>
          <w:sz w:val="24"/>
          <w:szCs w:val="24"/>
          <w:vertAlign w:val="superscript"/>
        </w:rPr>
        <w:t>[</w:t>
      </w:r>
      <w:r>
        <w:rPr>
          <w:rFonts w:ascii="Times New Roman" w:hAnsi="宋体" w:hint="eastAsia"/>
          <w:sz w:val="24"/>
          <w:szCs w:val="24"/>
          <w:vertAlign w:val="superscript"/>
        </w:rPr>
        <w:t>8</w:t>
      </w:r>
      <w:r>
        <w:rPr>
          <w:rFonts w:ascii="Times New Roman" w:hAnsi="宋体" w:hint="eastAsia"/>
          <w:sz w:val="24"/>
          <w:szCs w:val="24"/>
          <w:vertAlign w:val="superscript"/>
        </w:rPr>
        <w:t>]</w:t>
      </w:r>
      <w:r>
        <w:rPr>
          <w:rFonts w:ascii="Times New Roman" w:hAnsi="宋体" w:hint="eastAsia"/>
          <w:sz w:val="24"/>
          <w:szCs w:val="24"/>
        </w:rPr>
        <w:t>, aim to achieve cross-modal understanding and generation, demonstrating potential of multimodal large-scale models in bridging the gap between different data modalities. In March 2023, ChatGPT-4 was officially released, expanding its capabilities from textual inputs only to multimodal inputs. Through interactions between linguistic and visual data, ChatGPT-4 learns generalized visual features that can be applied to a variety of visual tasks, including information categorization, retrieval, target detection, video understanding, visual quizzing, image captioning, and even image generation. From a technical standpoint, multimodal large-scale models belong to the category of deep neural networks and have undergone remarkable advancements in their abilities to understand, express, and learn information. These multimodal large-scale models have significantly outperformed traditional machine learning models, boasting exceptional generalization capabilities. Multimodal large-scale models have emerged as a pivotal field of interest, with significant progress achieved in the various applications.</w:t>
      </w:r>
    </w:p>
    <w:p>
      <w:pPr>
        <w:spacing w:before="156" w:beforeLines="50" w:line="360" w:lineRule="auto"/>
        <w:jc w:val="left"/>
        <w:rPr>
          <w:rFonts w:ascii="Times New Roman" w:hAnsi="宋体"/>
          <w:sz w:val="24"/>
          <w:szCs w:val="24"/>
        </w:rPr>
      </w:pPr>
      <w:r>
        <w:rPr>
          <w:rFonts w:ascii="Times New Roman" w:hAnsi="宋体" w:hint="eastAsia"/>
          <w:b/>
          <w:sz w:val="26"/>
          <w:szCs w:val="32"/>
        </w:rPr>
        <w:t>2.3  Deep neural network models-core technology for constructing AI large-scale  models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Deep neural network modeling serves as the cornerstone technology for AI large-scale  models. These networks comprise numerous neurons distributed across different layers, with a typical layer structure encompassing input, hidden, and output layers. Within the networks, each neuron receives inputs from the preceding layer and subsequently calculating its output by applying weights and activation functions. Deep neural network models have achieved remarkable success in numerous fields, such as image recognition, natural language processing, speech recognition, and recommender systems. This has significantly enhanced the power and practical applications of AI technology, making it more widely adopted and utilized. However, despite their remarkable achievements, deep neural network models have also faced a series of challenges, including overfitting, demanding computational hardware, and lack of interpretability. Therefore, ongoing research and continuous improvements are essential to address these challenges and enhance the AI models’ capabilities.</w:t>
      </w:r>
    </w:p>
    <w:p>
      <w:pPr>
        <w:spacing w:before="156" w:beforeLines="50" w:line="360" w:lineRule="auto"/>
        <w:jc w:val="left"/>
        <w:rPr>
          <w:rFonts w:ascii="Times New Roman" w:hAnsi="宋体"/>
          <w:sz w:val="24"/>
          <w:szCs w:val="24"/>
        </w:rPr>
      </w:pPr>
      <w:r>
        <w:rPr>
          <w:rFonts w:ascii="Times New Roman" w:hAnsi="宋体" w:hint="eastAsia"/>
          <w:b/>
          <w:sz w:val="32"/>
          <w:szCs w:val="32"/>
        </w:rPr>
        <w:t>3  Challenges of AI in eye diagnosis</w:t>
      </w:r>
    </w:p>
    <w:p>
      <w:pPr>
        <w:spacing w:before="156" w:beforeLines="50" w:line="360" w:lineRule="auto"/>
        <w:jc w:val="left"/>
        <w:rPr>
          <w:rFonts w:ascii="Times New Roman" w:hAnsi="宋体"/>
          <w:sz w:val="24"/>
          <w:szCs w:val="24"/>
        </w:rPr>
      </w:pPr>
      <w:r>
        <w:rPr>
          <w:rFonts w:ascii="Times New Roman" w:hAnsi="宋体" w:hint="eastAsia"/>
          <w:b/>
          <w:sz w:val="26"/>
          <w:szCs w:val="32"/>
        </w:rPr>
        <w:t>3.1  Lack of normalized and consistently labeled data</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Eye diagnosis in traditional Chinese medicine (TCM) is a comprehensive approach that assesses the health status of the human body and the nature of lesions based on the information obtained from observing the eyes. The realization of intelligent eye diagnosis necessitates the comprehensive, standardized, and precise collection of large amounts of information related eye diagnosis. This encompasses details of the ocular surface, such as the pupil, iris, sclera, inner and outer canthi, and eyelids, as well as fundus information, including the optic nerve papilla and retina. Currently, TCM scholars typically utilize clinical cases from a particular expert or cases within a hospital department as the foundation for developing an intelligent diagnostic system </w:t>
      </w:r>
      <w:r>
        <w:rPr>
          <w:rFonts w:ascii="Times New Roman" w:hAnsi="宋体" w:hint="eastAsia"/>
          <w:sz w:val="24"/>
          <w:szCs w:val="24"/>
          <w:vertAlign w:val="superscript"/>
        </w:rPr>
        <w:t>[</w:t>
      </w:r>
      <w:r>
        <w:rPr>
          <w:rFonts w:ascii="Times New Roman" w:hAnsi="宋体" w:hint="eastAsia"/>
          <w:sz w:val="24"/>
          <w:szCs w:val="24"/>
          <w:vertAlign w:val="superscript"/>
        </w:rPr>
        <w:t>9</w:t>
      </w:r>
      <w:r>
        <w:rPr>
          <w:rFonts w:ascii="Times New Roman" w:hAnsi="宋体" w:hint="eastAsia"/>
          <w:sz w:val="24"/>
          <w:szCs w:val="24"/>
          <w:vertAlign w:val="superscript"/>
        </w:rPr>
        <w:t>]</w:t>
      </w:r>
      <w:r>
        <w:rPr>
          <w:rFonts w:ascii="Times New Roman" w:hAnsi="宋体" w:hint="eastAsia"/>
          <w:sz w:val="24"/>
          <w:szCs w:val="24"/>
        </w:rPr>
        <w:t xml:space="preserve">. However, the sample data of each study vary considerably, and TCM scholars are often bound by traditional notions of mentor-apprentice succession. This results in a large amount of original data not being publicly released, making it challenging for subsequent TCM scholars to replicate validation studies, conduct new research based on previous work, and realize multi-center and large-sample studies. In addition, TCM diagnostic data are inherently subjective and challenging to integrate effectively, presenting obstacles like homonymy, heteronymy, non-standardized definitions with varying connotations and extensions, and inconsistent quantitative descriptions </w:t>
      </w:r>
      <w:r>
        <w:rPr>
          <w:rFonts w:ascii="Times New Roman" w:hAnsi="宋体" w:hint="eastAsia"/>
          <w:sz w:val="24"/>
          <w:szCs w:val="24"/>
          <w:vertAlign w:val="superscript"/>
        </w:rPr>
        <w:t>[</w:t>
      </w:r>
      <w:r>
        <w:rPr>
          <w:rFonts w:ascii="Times New Roman" w:hAnsi="宋体" w:hint="eastAsia"/>
          <w:sz w:val="24"/>
          <w:szCs w:val="24"/>
          <w:vertAlign w:val="superscript"/>
        </w:rPr>
        <w:t>10</w:t>
      </w:r>
      <w:r>
        <w:rPr>
          <w:rFonts w:ascii="Times New Roman" w:hAnsi="宋体" w:hint="eastAsia"/>
          <w:sz w:val="24"/>
          <w:szCs w:val="24"/>
          <w:vertAlign w:val="superscript"/>
        </w:rPr>
        <w:t>]</w:t>
      </w:r>
      <w:r>
        <w:rPr>
          <w:rFonts w:ascii="Times New Roman" w:hAnsi="宋体" w:hint="eastAsia"/>
          <w:sz w:val="24"/>
          <w:szCs w:val="24"/>
        </w:rPr>
        <w:t>. Therefore, constructing a database with accurate and standardized representation of TCM diagnostic data, accompanied by precise data labeling, presents a pivotal challenge for the research on intelligent eye diagnosis.</w:t>
      </w:r>
    </w:p>
    <w:p>
      <w:pPr>
        <w:spacing w:before="156" w:beforeLines="50" w:line="360" w:lineRule="auto"/>
        <w:jc w:val="left"/>
        <w:rPr>
          <w:rFonts w:ascii="Times New Roman" w:hAnsi="宋体"/>
          <w:sz w:val="24"/>
          <w:szCs w:val="24"/>
        </w:rPr>
      </w:pPr>
      <w:r>
        <w:rPr>
          <w:rFonts w:ascii="Times New Roman" w:hAnsi="宋体" w:hint="eastAsia"/>
          <w:b/>
          <w:sz w:val="26"/>
          <w:szCs w:val="32"/>
        </w:rPr>
        <w:t>3.2  Lack of multimodal information analysis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information gathered through eye diagnosis comprises both semantic and image data. Semantic data refer to the meaning embedded in language, encompassing metrics like intraocular pressure, arteriovenous diameter ratio of retinal vessels, and other parameters that can be extracted utilizing current medical equipment. Currently, research on eye diagnosis mainly focuses on investigating the correlations between eye features or objective indicators and the underlying nature of diseases or types of syndromes. Additionally, it explores the utilization of eye features in assessing the efficacy of clinical treatments and identifying variations in body constitution. However, multiple diagnostic analysis algorithms solely rely on a single type of eye-related data for decision-making, which falls short in addressing the intricate complexities of the human body, diseases, and environment. One significant challenge lies in integrating semantic and image data obtained from eye diagnosis to achieve comprehensive fusion analysis </w:t>
      </w:r>
      <w:r>
        <w:rPr>
          <w:rFonts w:ascii="Times New Roman" w:hAnsi="宋体" w:hint="eastAsia"/>
          <w:sz w:val="24"/>
          <w:szCs w:val="24"/>
          <w:vertAlign w:val="superscript"/>
        </w:rPr>
        <w:t>[</w:t>
      </w:r>
      <w:r>
        <w:rPr>
          <w:rFonts w:ascii="Times New Roman" w:hAnsi="宋体" w:hint="eastAsia"/>
          <w:sz w:val="24"/>
          <w:szCs w:val="24"/>
          <w:vertAlign w:val="superscript"/>
        </w:rPr>
        <w:t>11</w:t>
      </w:r>
      <w:r>
        <w:rPr>
          <w:rFonts w:ascii="Times New Roman" w:hAnsi="宋体" w:hint="eastAsia"/>
          <w:sz w:val="24"/>
          <w:szCs w:val="24"/>
          <w:vertAlign w:val="superscript"/>
        </w:rPr>
        <w:t>]</w:t>
      </w:r>
      <w:r>
        <w:rPr>
          <w:rFonts w:ascii="Times New Roman" w:hAnsi="宋体" w:hint="eastAsia"/>
          <w:sz w:val="24"/>
          <w:szCs w:val="24"/>
        </w:rPr>
        <w:t>.</w:t>
      </w:r>
    </w:p>
    <w:p>
      <w:pPr>
        <w:spacing w:before="156" w:beforeLines="50" w:line="360" w:lineRule="auto"/>
        <w:jc w:val="left"/>
        <w:rPr>
          <w:rFonts w:ascii="Times New Roman" w:hAnsi="宋体"/>
          <w:sz w:val="24"/>
          <w:szCs w:val="24"/>
        </w:rPr>
      </w:pPr>
      <w:r>
        <w:rPr>
          <w:rFonts w:ascii="Times New Roman" w:hAnsi="宋体" w:hint="eastAsia"/>
          <w:b/>
          <w:sz w:val="26"/>
          <w:szCs w:val="32"/>
        </w:rPr>
        <w:t>3.3  Lack of discursive modeling</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Eye diagnosis indeed boasts a rich historical background, dating back to the </w:t>
      </w:r>
      <w:r>
        <w:rPr>
          <w:rFonts w:ascii="Times New Roman" w:hAnsi="宋体" w:hint="eastAsia"/>
          <w:i w:val="true"/>
          <w:sz w:val="24"/>
          <w:szCs w:val="24"/>
        </w:rPr>
        <w:t>Inner Canon of Huangdi</w:t>
      </w:r>
      <w:r>
        <w:rPr>
          <w:rFonts w:ascii="Times New Roman" w:hAnsi="宋体" w:hint="eastAsia"/>
          <w:sz w:val="24"/>
          <w:szCs w:val="24"/>
        </w:rPr>
        <w:t xml:space="preserve"> (</w:t>
      </w:r>
      <w:r>
        <w:rPr>
          <w:rFonts w:ascii="Times New Roman" w:hAnsi="宋体" w:hint="eastAsia"/>
          <w:i w:val="true"/>
          <w:sz w:val="24"/>
          <w:szCs w:val="24"/>
        </w:rPr>
        <w:t>Huang Di Nei Jing</w:t>
      </w:r>
      <w:r>
        <w:rPr>
          <w:rFonts w:ascii="Times New Roman" w:hAnsi="宋体" w:hint="eastAsia"/>
          <w:sz w:val="24"/>
          <w:szCs w:val="24"/>
        </w:rPr>
        <w:t xml:space="preserve">, 《黄帝内经》). However, the related knowledge pertaining to this field is fragmented and dispersed across various classical ancient texts. The information obtained from eye diagnosis is prone to subjectivity, as it can be influenced by external environmental factors and natural variations. The lack of objective and quantifiable indicators, and the difficulty in consistently replicating results pose challenges that hinder the further development of eye diagnosis. The field of intelligent diagnosis in TCM has undergone a robust revolution, commencing with TCM expert systems, transitioning through traditional machine learning, and now advancing into the cutting-edge exploration of big data and deep learning. Despite the advancements, models applicable to computer-assisted diagnosis have yet to achieve a significant breakthrough, and there is a lack of corresponding basic theoretical models for TCM diagnosis </w:t>
      </w:r>
      <w:r>
        <w:rPr>
          <w:rFonts w:ascii="Times New Roman" w:hAnsi="宋体" w:hint="eastAsia"/>
          <w:sz w:val="24"/>
          <w:szCs w:val="24"/>
          <w:vertAlign w:val="superscript"/>
        </w:rPr>
        <w:t>[</w:t>
      </w:r>
      <w:r>
        <w:rPr>
          <w:rFonts w:ascii="Times New Roman" w:hAnsi="宋体" w:hint="eastAsia"/>
          <w:sz w:val="24"/>
          <w:szCs w:val="24"/>
          <w:vertAlign w:val="superscript"/>
        </w:rPr>
        <w:t>12</w:t>
      </w:r>
      <w:r>
        <w:rPr>
          <w:rFonts w:ascii="Times New Roman" w:hAnsi="宋体" w:hint="eastAsia"/>
          <w:sz w:val="24"/>
          <w:szCs w:val="24"/>
          <w:vertAlign w:val="superscript"/>
        </w:rPr>
        <w:t>]</w:t>
      </w:r>
      <w:r>
        <w:rPr>
          <w:rFonts w:ascii="Times New Roman" w:hAnsi="宋体" w:hint="eastAsia"/>
          <w:sz w:val="24"/>
          <w:szCs w:val="24"/>
        </w:rPr>
        <w:t>. This issue, stemming from the inadequate representation of AI models for TCM diagnosis, has impeded the progress of research on intelligent eye diagnosis.</w:t>
      </w:r>
    </w:p>
    <w:p>
      <w:pPr>
        <w:spacing w:before="156" w:beforeLines="50" w:line="360" w:lineRule="auto"/>
        <w:jc w:val="left"/>
        <w:rPr>
          <w:rFonts w:ascii="Times New Roman" w:hAnsi="宋体"/>
          <w:sz w:val="24"/>
          <w:szCs w:val="24"/>
        </w:rPr>
      </w:pPr>
      <w:r>
        <w:rPr>
          <w:rFonts w:ascii="Times New Roman" w:hAnsi="宋体" w:hint="eastAsia"/>
          <w:b/>
          <w:sz w:val="32"/>
          <w:szCs w:val="32"/>
        </w:rPr>
        <w:t>4  Significance of AI large-scale models in eye diagnosis</w:t>
      </w:r>
    </w:p>
    <w:p>
      <w:pPr>
        <w:spacing w:before="156" w:beforeLines="50" w:line="360" w:lineRule="auto"/>
        <w:jc w:val="left"/>
        <w:rPr>
          <w:rFonts w:ascii="Times New Roman" w:hAnsi="宋体"/>
          <w:sz w:val="24"/>
          <w:szCs w:val="24"/>
        </w:rPr>
      </w:pPr>
      <w:r>
        <w:rPr>
          <w:rFonts w:ascii="Times New Roman" w:hAnsi="宋体" w:hint="eastAsia"/>
          <w:b/>
          <w:sz w:val="26"/>
          <w:szCs w:val="32"/>
        </w:rPr>
        <w:t>4.1  Building a database for intelligent eye diagnosis based on self-supervised learning</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Self-supervised learning leverages large-scale unlabeled data to pre-train models, enabling them to learn representative features from the data through the automatic generation of labels or tasks. This approach has been widely used in deep learning, especially in the areas of natural language processing and computer vision, where it has achieved remarkable success </w:t>
      </w:r>
      <w:r>
        <w:rPr>
          <w:rFonts w:ascii="Times New Roman" w:hAnsi="宋体" w:hint="eastAsia"/>
          <w:sz w:val="24"/>
          <w:szCs w:val="24"/>
          <w:vertAlign w:val="superscript"/>
        </w:rPr>
        <w:t>[</w:t>
      </w:r>
      <w:r>
        <w:rPr>
          <w:rFonts w:ascii="Times New Roman" w:hAnsi="宋体" w:hint="eastAsia"/>
          <w:sz w:val="24"/>
          <w:szCs w:val="24"/>
          <w:vertAlign w:val="superscript"/>
        </w:rPr>
        <w:t>13</w:t>
      </w:r>
      <w:r>
        <w:rPr>
          <w:rFonts w:ascii="Times New Roman" w:hAnsi="宋体" w:hint="eastAsia"/>
          <w:sz w:val="24"/>
          <w:szCs w:val="24"/>
          <w:vertAlign w:val="superscript"/>
        </w:rPr>
        <w:t>]</w:t>
      </w:r>
      <w:r>
        <w:rPr>
          <w:rFonts w:ascii="Times New Roman" w:hAnsi="宋体" w:hint="eastAsia"/>
          <w:sz w:val="24"/>
          <w:szCs w:val="24"/>
        </w:rPr>
        <w:t>. Self-supervised learning replaces manual labeling by automatically generating labels, enabling AI models to learn from data actively. Among these approaches, self-supervised learning fed by optimized data is a common approach. This approach typically generates different views or transformations of the data through augmentation techniques, and then uses the autoregressive or comparative nature of the model to optimize its parameters.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To realize intelligent eye diagnosis, it is important to construct a pre-trained database based on self-supervised learning to address the issue of lacking normalized and precisely labeled data. This process includes several key steps, from data acquisition, cleaning, labeling, to dataset partitioning and storage, all of which directly affect the performance and application of the trained AI large-scale  model for intelligent eye diagnosis </w:t>
      </w:r>
      <w:r>
        <w:rPr>
          <w:rFonts w:ascii="Times New Roman" w:hAnsi="宋体" w:hint="eastAsia"/>
          <w:sz w:val="24"/>
          <w:szCs w:val="24"/>
          <w:vertAlign w:val="superscript"/>
        </w:rPr>
        <w:t>[</w:t>
      </w:r>
      <w:r>
        <w:rPr>
          <w:rFonts w:ascii="Times New Roman" w:hAnsi="宋体" w:hint="eastAsia"/>
          <w:sz w:val="24"/>
          <w:szCs w:val="24"/>
          <w:vertAlign w:val="superscript"/>
        </w:rPr>
        <w:t>14</w:t>
      </w:r>
      <w:r>
        <w:rPr>
          <w:rFonts w:ascii="Times New Roman" w:hAnsi="宋体" w:hint="eastAsia"/>
          <w:sz w:val="24"/>
          <w:szCs w:val="24"/>
          <w:vertAlign w:val="superscript"/>
        </w:rPr>
        <w:t>]</w:t>
      </w:r>
      <w:r>
        <w:rPr>
          <w:rFonts w:ascii="Times New Roman" w:hAnsi="宋体" w:hint="eastAsia"/>
          <w:sz w:val="24"/>
          <w:szCs w:val="24"/>
        </w:rPr>
        <w:t>. First, data acquisition requires the selection of data pertaining to TCM eye diagnosis, which will be processed, i.e., data cleaning, by removing noise and irrelevant information to ensure high quality and applicability of the data. Second, the processed data will be labeled into categories including symptoms, signs, microscopic parameters, and diagnostic results, which play a crucial role in intelligent eye diagnosis.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Increasing the size of the data for model training can enhance the expressive power and generalization capabilities of the trained model, ultimately leading to improved performance on complex tasks </w:t>
      </w:r>
      <w:r>
        <w:rPr>
          <w:rFonts w:ascii="Times New Roman" w:hAnsi="宋体" w:hint="eastAsia"/>
          <w:sz w:val="24"/>
          <w:szCs w:val="24"/>
          <w:vertAlign w:val="superscript"/>
        </w:rPr>
        <w:t>[</w:t>
      </w:r>
      <w:r>
        <w:rPr>
          <w:rFonts w:ascii="Times New Roman" w:hAnsi="宋体" w:hint="eastAsia"/>
          <w:sz w:val="24"/>
          <w:szCs w:val="24"/>
          <w:vertAlign w:val="superscript"/>
        </w:rPr>
        <w:t>15</w:t>
      </w:r>
      <w:r>
        <w:rPr>
          <w:rFonts w:ascii="Times New Roman" w:hAnsi="宋体" w:hint="eastAsia"/>
          <w:sz w:val="24"/>
          <w:szCs w:val="24"/>
          <w:vertAlign w:val="superscript"/>
        </w:rPr>
        <w:t>]</w:t>
      </w:r>
      <w:r>
        <w:rPr>
          <w:rFonts w:ascii="Times New Roman" w:hAnsi="宋体" w:hint="eastAsia"/>
          <w:sz w:val="24"/>
          <w:szCs w:val="24"/>
        </w:rPr>
        <w:t xml:space="preserve">. In the exploration of intelligent eye diagnosis, self-supervised learning can be employed with the use of unlabeled eye diagnosis-associated image data, from which it can learn the understanding and representation of eye diagnosis features to improve the performance and accuracy of large AI models for real-world eye diagnosis. However, during the process of constructing a pre-trained database, it is imperative to prioritize privacy protection and adhere strictly to data ethics standards. Relevant laws, regulations, and ethical guidelines must be strictly followed in data collection and processing to ensure the protection of people’s privacy </w:t>
      </w:r>
      <w:r>
        <w:rPr>
          <w:rFonts w:ascii="Times New Roman" w:hAnsi="宋体" w:hint="eastAsia"/>
          <w:sz w:val="24"/>
          <w:szCs w:val="24"/>
          <w:vertAlign w:val="superscript"/>
        </w:rPr>
        <w:t>[</w:t>
      </w:r>
      <w:r>
        <w:rPr>
          <w:rFonts w:ascii="Times New Roman" w:hAnsi="宋体" w:hint="eastAsia"/>
          <w:sz w:val="24"/>
          <w:szCs w:val="24"/>
          <w:vertAlign w:val="superscript"/>
        </w:rPr>
        <w:t>16</w:t>
      </w:r>
      <w:r>
        <w:rPr>
          <w:rFonts w:ascii="Times New Roman" w:hAnsi="宋体" w:hint="eastAsia"/>
          <w:sz w:val="24"/>
          <w:szCs w:val="24"/>
          <w:vertAlign w:val="superscript"/>
        </w:rPr>
        <w:t>]</w:t>
      </w:r>
      <w:r>
        <w:rPr>
          <w:rFonts w:ascii="Times New Roman" w:hAnsi="宋体" w:hint="eastAsia"/>
          <w:sz w:val="24"/>
          <w:szCs w:val="24"/>
        </w:rPr>
        <w:t>. In summary, constructing a pre-train database for eye diagnosis based on self-supervised learning is crucial for realizing intelligent eye diagnosis. Through reasonable and thorough processes of data collection, cleaning, labeling, and organization, a robust data foundation is well prepared for the subsequent model training.</w:t>
      </w:r>
    </w:p>
    <w:p>
      <w:pPr>
        <w:spacing w:before="156" w:beforeLines="50" w:line="360" w:lineRule="auto"/>
        <w:jc w:val="left"/>
        <w:rPr>
          <w:rFonts w:ascii="Times New Roman" w:hAnsi="宋体"/>
          <w:sz w:val="24"/>
          <w:szCs w:val="24"/>
        </w:rPr>
      </w:pPr>
      <w:r>
        <w:rPr>
          <w:rFonts w:ascii="Times New Roman" w:hAnsi="宋体" w:hint="eastAsia"/>
          <w:b/>
          <w:sz w:val="26"/>
          <w:szCs w:val="32"/>
        </w:rPr>
        <w:t>4.2  Cross-modal understanding and generation of deep neural network models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Currently, research on eye diagnosis is predominantly focused on exploring correlations between single-modal information and the underlying nature or evidence of diseases. However, solely analyzing single-modal information often fails to comprehensively capture patients’ disease conditions, as the assessment of the human body state inherently demands multimodal information. The challenge lies in effectively fusing multimodal information, specifically synthesizing the semantic and image data obtained from eye diagnosis, and integrating them harmoniously. To address this challenge, the development of new algorithms and techniques is crucial for integrating these two sources of information and determining their weights and correlations </w:t>
      </w:r>
      <w:r>
        <w:rPr>
          <w:rFonts w:ascii="Times New Roman" w:hAnsi="宋体" w:hint="eastAsia"/>
          <w:sz w:val="24"/>
          <w:szCs w:val="24"/>
          <w:vertAlign w:val="superscript"/>
        </w:rPr>
        <w:t>[</w:t>
      </w:r>
      <w:r>
        <w:rPr>
          <w:rFonts w:ascii="Times New Roman" w:hAnsi="宋体" w:hint="eastAsia"/>
          <w:sz w:val="24"/>
          <w:szCs w:val="24"/>
          <w:vertAlign w:val="superscript"/>
        </w:rPr>
        <w:t>17</w:t>
      </w:r>
      <w:r>
        <w:rPr>
          <w:rFonts w:ascii="Times New Roman" w:hAnsi="宋体" w:hint="eastAsia"/>
          <w:sz w:val="24"/>
          <w:szCs w:val="24"/>
          <w:vertAlign w:val="superscript"/>
        </w:rPr>
        <w:t>]</w:t>
      </w:r>
      <w:r>
        <w:rPr>
          <w:rFonts w:ascii="Times New Roman" w:hAnsi="宋体" w:hint="eastAsia"/>
          <w:sz w:val="24"/>
          <w:szCs w:val="24"/>
        </w:rPr>
        <w: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Deep neural networks happen to meet the demands with great potential. Deep neural networks excel at dealing with nonlinear mapping relationships and complex multimodal data. Particularly when it comes to the fusion of multimodal information, deep neural networks are able to effectively learn the relationships between the multimodal information, allowing analysis in this regard to be more accurate and comprehensive. XIA et al. </w:t>
      </w:r>
      <w:r>
        <w:rPr>
          <w:rFonts w:ascii="Times New Roman" w:hAnsi="宋体" w:hint="eastAsia"/>
          <w:sz w:val="24"/>
          <w:szCs w:val="24"/>
          <w:vertAlign w:val="superscript"/>
        </w:rPr>
        <w:t>[</w:t>
      </w:r>
      <w:r>
        <w:rPr>
          <w:rFonts w:ascii="Times New Roman" w:hAnsi="宋体" w:hint="eastAsia"/>
          <w:sz w:val="24"/>
          <w:szCs w:val="24"/>
          <w:vertAlign w:val="superscript"/>
        </w:rPr>
        <w:t>18</w:t>
      </w:r>
      <w:r>
        <w:rPr>
          <w:rFonts w:ascii="Times New Roman" w:hAnsi="宋体" w:hint="eastAsia"/>
          <w:sz w:val="24"/>
          <w:szCs w:val="24"/>
          <w:vertAlign w:val="superscript"/>
        </w:rPr>
        <w:t>]</w:t>
      </w:r>
      <w:r>
        <w:rPr>
          <w:rFonts w:ascii="Times New Roman" w:hAnsi="宋体" w:hint="eastAsia"/>
          <w:sz w:val="24"/>
          <w:szCs w:val="24"/>
        </w:rPr>
        <w:t xml:space="preserve"> used a deep neural network model for analyzing the fusion of multimodal information.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WEN et al. </w:t>
      </w:r>
      <w:r>
        <w:rPr>
          <w:rFonts w:ascii="Times New Roman" w:hAnsi="宋体" w:hint="eastAsia"/>
          <w:sz w:val="24"/>
          <w:szCs w:val="24"/>
          <w:vertAlign w:val="superscript"/>
        </w:rPr>
        <w:t>[</w:t>
      </w:r>
      <w:r>
        <w:rPr>
          <w:rFonts w:ascii="Times New Roman" w:hAnsi="宋体" w:hint="eastAsia"/>
          <w:sz w:val="24"/>
          <w:szCs w:val="24"/>
          <w:vertAlign w:val="superscript"/>
        </w:rPr>
        <w:t>19</w:t>
      </w:r>
      <w:r>
        <w:rPr>
          <w:rFonts w:ascii="Times New Roman" w:hAnsi="宋体" w:hint="eastAsia"/>
          <w:sz w:val="24"/>
          <w:szCs w:val="24"/>
          <w:vertAlign w:val="superscript"/>
        </w:rPr>
        <w:t>]</w:t>
      </w:r>
      <w:r>
        <w:rPr>
          <w:rFonts w:ascii="Times New Roman" w:hAnsi="宋体" w:hint="eastAsia"/>
          <w:sz w:val="24"/>
          <w:szCs w:val="24"/>
        </w:rPr>
        <w:t xml:space="preserve"> used preprocessed tongue and eye diagnosis images as data inputs for neural network model training, aiming to facilitate the intelligent diagnosis of type 2 diabetes mellitus Yin deficiency. The intelligent eye diagnosis model alone also necessitates learning and assessment capabilities, which are inherent in deep neural network models. Deep neural networks excel at digitally encoding knowledge via network link weights, which they can refine through data-driven learning </w:t>
      </w:r>
      <w:r>
        <w:rPr>
          <w:rFonts w:ascii="Times New Roman" w:hAnsi="宋体" w:hint="eastAsia"/>
          <w:sz w:val="24"/>
          <w:szCs w:val="24"/>
          <w:vertAlign w:val="superscript"/>
        </w:rPr>
        <w:t>[</w:t>
      </w:r>
      <w:r>
        <w:rPr>
          <w:rFonts w:ascii="Times New Roman" w:hAnsi="宋体" w:hint="eastAsia"/>
          <w:sz w:val="24"/>
          <w:szCs w:val="24"/>
          <w:vertAlign w:val="superscript"/>
        </w:rPr>
        <w:t>20</w:t>
      </w:r>
      <w:r>
        <w:rPr>
          <w:rFonts w:ascii="Times New Roman" w:hAnsi="宋体" w:hint="eastAsia"/>
          <w:sz w:val="24"/>
          <w:szCs w:val="24"/>
          <w:vertAlign w:val="superscript"/>
        </w:rPr>
        <w:t>]</w:t>
      </w:r>
      <w:r>
        <w:rPr>
          <w:rFonts w:ascii="Times New Roman" w:hAnsi="宋体" w:hint="eastAsia"/>
          <w:sz w:val="24"/>
          <w:szCs w:val="24"/>
        </w:rPr>
        <w:t>. Furthermore, they are capable of hierarchically training the model to accommodate inputs from diverse information sources in eye diagnosis, such as image data and semantic data. Deep neural networks are able to automatically extract key features from multimodal information, and then integrate and analyze this data using their powerful analytical capabilities. The core of these networks is that they can learn complex associations between multimodal information to provide accurate diagnostic results.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In addition, deep neural network models have the ability to continuously learn and adapt to new data inputs. As the amount of data grows, the network weight structure can be dynamically optimized, leading to a gradual enhancement of its intelligence. In summary, the fusion analysis of multimodal information holds significant promise in the realm of intelligent eye diagnosis in TCM, and the deep neural network model serves as a formidable tool for tackling the intricate challenge of comprehensive analysis of multimodal information. This will significantly improve the accuracy and comprehensiveness of intelligent eye diagnosis, which is expected to assist in TCM diagnosis in clinical practices.</w:t>
      </w:r>
    </w:p>
    <w:p>
      <w:pPr>
        <w:spacing w:before="156" w:beforeLines="50" w:line="360" w:lineRule="auto"/>
        <w:jc w:val="left"/>
        <w:rPr>
          <w:rFonts w:ascii="Times New Roman" w:hAnsi="宋体"/>
          <w:sz w:val="24"/>
          <w:szCs w:val="24"/>
        </w:rPr>
      </w:pPr>
      <w:r>
        <w:rPr>
          <w:rFonts w:ascii="Times New Roman" w:hAnsi="宋体" w:hint="eastAsia"/>
          <w:b/>
          <w:sz w:val="26"/>
          <w:szCs w:val="32"/>
        </w:rPr>
        <w:t>4.3  The construction of AI large-scale  models for intelligent eye diagnosis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In the era of big data, the development of dynamic and intelligent optimal diagnostic models poses a pivotal challenge in the research on intelligent eye diagnosis </w:t>
      </w:r>
      <w:r>
        <w:rPr>
          <w:rFonts w:ascii="Times New Roman" w:hAnsi="宋体" w:hint="eastAsia"/>
          <w:sz w:val="24"/>
          <w:szCs w:val="24"/>
          <w:vertAlign w:val="superscript"/>
        </w:rPr>
        <w:t>[</w:t>
      </w:r>
      <w:r>
        <w:rPr>
          <w:rFonts w:ascii="Times New Roman" w:hAnsi="宋体" w:hint="eastAsia"/>
          <w:sz w:val="24"/>
          <w:szCs w:val="24"/>
          <w:vertAlign w:val="superscript"/>
        </w:rPr>
        <w:t>21</w:t>
      </w:r>
      <w:r>
        <w:rPr>
          <w:rFonts w:ascii="Times New Roman" w:hAnsi="宋体" w:hint="eastAsia"/>
          <w:sz w:val="24"/>
          <w:szCs w:val="24"/>
          <w:vertAlign w:val="superscript"/>
        </w:rPr>
        <w:t>]</w:t>
      </w:r>
      <w:r>
        <w:rPr>
          <w:rFonts w:ascii="Times New Roman" w:hAnsi="宋体" w:hint="eastAsia"/>
          <w:sz w:val="24"/>
          <w:szCs w:val="24"/>
        </w:rPr>
        <w:t>. TCM has accumulated a wealth of experience and knowledge, including numerous conventional insights into disease diagnosis and treatment. Combining these insights with data-driven diagnostic models is expected to improve the accuracy of eye diagnosis. To realize this purpose, the first task we need to complete is to transfer the TCM knowledge in digital manners so that computers can recognize it.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SHE et al. </w:t>
      </w:r>
      <w:r>
        <w:rPr>
          <w:rFonts w:ascii="Times New Roman" w:hAnsi="宋体" w:hint="eastAsia"/>
          <w:sz w:val="24"/>
          <w:szCs w:val="24"/>
          <w:vertAlign w:val="superscript"/>
        </w:rPr>
        <w:t>[</w:t>
      </w:r>
      <w:r>
        <w:rPr>
          <w:rFonts w:ascii="Times New Roman" w:hAnsi="宋体" w:hint="eastAsia"/>
          <w:sz w:val="24"/>
          <w:szCs w:val="24"/>
          <w:vertAlign w:val="superscript"/>
        </w:rPr>
        <w:t>22</w:t>
      </w:r>
      <w:r>
        <w:rPr>
          <w:rFonts w:ascii="Times New Roman" w:hAnsi="宋体" w:hint="eastAsia"/>
          <w:sz w:val="24"/>
          <w:szCs w:val="24"/>
          <w:vertAlign w:val="superscript"/>
        </w:rPr>
        <w:t>]</w:t>
      </w:r>
      <w:r>
        <w:rPr>
          <w:rFonts w:ascii="Times New Roman" w:hAnsi="宋体" w:hint="eastAsia"/>
          <w:sz w:val="24"/>
          <w:szCs w:val="24"/>
        </w:rPr>
        <w:t xml:space="preserve"> proposed an intelligent TCM model based on complex system theories. This model enables the simulation of network knowledge evolution dynamics, allowing itself to learn from empirical facts and enhance the efficacy of decision-making judgments by autonomously adjusting parameters in the network connection weights and optimizing strategy functions. The network’s hierarchical structure encapsulates both bottom-up and top-down bi-directional causal relationships, seamlessly integrating TCM theories with machine learning. With the help of AI, each piece of data fuels the learning process for the exploration of intelligent eye diagnosis. As a result, the network’s weight structure undergoes continual adjustment and optimization, ultimately culminating in a visual diagnosis system whose intelligence progressively escalates with the accumulation of data samples.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development of the cognitive intelligence of AI consists of five stages, which are perception and sensing, representation and reasoning, autonomous learning, creative thinking, as well as natural interaction and socialization. While the current AI large-scale  models remain are still far from fully simulating human cognition, they do demonstrate a noteworthy “self-supervised learning” capability. However, the core of TCM diagnosis lies in the representation and reasoning of discriminative knowledge </w:t>
      </w:r>
      <w:r>
        <w:rPr>
          <w:rFonts w:ascii="Times New Roman" w:hAnsi="宋体" w:hint="eastAsia"/>
          <w:sz w:val="24"/>
          <w:szCs w:val="24"/>
          <w:vertAlign w:val="superscript"/>
        </w:rPr>
        <w:t>[</w:t>
      </w:r>
      <w:r>
        <w:rPr>
          <w:rFonts w:ascii="Times New Roman" w:hAnsi="宋体" w:hint="eastAsia"/>
          <w:sz w:val="24"/>
          <w:szCs w:val="24"/>
          <w:vertAlign w:val="superscript"/>
        </w:rPr>
        <w:t>23</w:t>
      </w:r>
      <w:r>
        <w:rPr>
          <w:rFonts w:ascii="Times New Roman" w:hAnsi="宋体" w:hint="eastAsia"/>
          <w:sz w:val="24"/>
          <w:szCs w:val="24"/>
          <w:vertAlign w:val="superscript"/>
        </w:rPr>
        <w:t>]</w:t>
      </w:r>
      <w:r>
        <w:rPr>
          <w:rFonts w:ascii="Times New Roman" w:hAnsi="宋体" w:hint="eastAsia"/>
          <w:sz w:val="24"/>
          <w:szCs w:val="24"/>
        </w:rPr>
        <w:t xml:space="preserve">. Therefore, knowledge mapping provides a solution for data organization and it’s intelligent applications </w:t>
      </w:r>
      <w:r>
        <w:rPr>
          <w:rFonts w:ascii="Times New Roman" w:hAnsi="宋体" w:hint="eastAsia"/>
          <w:sz w:val="24"/>
          <w:szCs w:val="24"/>
          <w:vertAlign w:val="superscript"/>
        </w:rPr>
        <w:t>[</w:t>
      </w:r>
      <w:r>
        <w:rPr>
          <w:rFonts w:ascii="Times New Roman" w:hAnsi="宋体" w:hint="eastAsia"/>
          <w:sz w:val="24"/>
          <w:szCs w:val="24"/>
          <w:vertAlign w:val="superscript"/>
        </w:rPr>
        <w:t>24</w:t>
      </w:r>
      <w:r>
        <w:rPr>
          <w:rFonts w:ascii="Times New Roman" w:hAnsi="宋体" w:hint="eastAsia"/>
          <w:sz w:val="24"/>
          <w:szCs w:val="24"/>
          <w:vertAlign w:val="superscript"/>
        </w:rPr>
        <w:t xml:space="preserve">, </w:t>
      </w:r>
      <w:r>
        <w:rPr>
          <w:rFonts w:ascii="Times New Roman" w:hAnsi="宋体" w:hint="eastAsia"/>
          <w:sz w:val="24"/>
          <w:szCs w:val="24"/>
          <w:vertAlign w:val="superscript"/>
        </w:rPr>
        <w:t>25</w:t>
      </w:r>
      <w:r>
        <w:rPr>
          <w:rFonts w:ascii="Times New Roman" w:hAnsi="宋体" w:hint="eastAsia"/>
          <w:sz w:val="24"/>
          <w:szCs w:val="24"/>
          <w:vertAlign w:val="superscript"/>
        </w:rPr>
        <w:t>]</w:t>
      </w:r>
      <w:r>
        <w:rPr>
          <w:rFonts w:ascii="Times New Roman" w:hAnsi="宋体" w:hint="eastAsia"/>
          <w:sz w:val="24"/>
          <w:szCs w:val="24"/>
        </w:rPr>
        <w:t xml:space="preserve">. Humans are inherently equipped with the ability to perceive the environment around them, which greatly facilitates their perception and cognitive processes. In contrast, AI large-scale  models do not have this ability, leaving them with great challenges in this domain. As such, the integration of collaborative learning and reasoning data represents a promising direction for the next generation of AI </w:t>
      </w:r>
      <w:r>
        <w:rPr>
          <w:rFonts w:ascii="Times New Roman" w:hAnsi="宋体" w:hint="eastAsia"/>
          <w:sz w:val="24"/>
          <w:szCs w:val="24"/>
          <w:vertAlign w:val="superscript"/>
        </w:rPr>
        <w:t>[</w:t>
      </w:r>
      <w:r>
        <w:rPr>
          <w:rFonts w:ascii="Times New Roman" w:hAnsi="宋体" w:hint="eastAsia"/>
          <w:sz w:val="24"/>
          <w:szCs w:val="24"/>
          <w:vertAlign w:val="superscript"/>
        </w:rPr>
        <w:t>26</w:t>
      </w:r>
      <w:r>
        <w:rPr>
          <w:rFonts w:ascii="Times New Roman" w:hAnsi="宋体" w:hint="eastAsia"/>
          <w:sz w:val="24"/>
          <w:szCs w:val="24"/>
          <w:vertAlign w:val="superscript"/>
        </w:rPr>
        <w:t>]</w:t>
      </w:r>
      <w:r>
        <w:rPr>
          <w:rFonts w:ascii="Times New Roman" w:hAnsi="宋体" w:hint="eastAsia"/>
          <w:sz w:val="24"/>
          <w:szCs w:val="24"/>
        </w:rPr>
        <w:t xml:space="preserve">. Cognitive mapping, a fusion of knowledge-driven and data-driven representation and reasoning, emerges as a key approach to realize the evolution of AI from perceptual to cognitive intelligence </w:t>
      </w:r>
      <w:r>
        <w:rPr>
          <w:rFonts w:ascii="Times New Roman" w:hAnsi="宋体" w:hint="eastAsia"/>
          <w:sz w:val="24"/>
          <w:szCs w:val="24"/>
          <w:vertAlign w:val="superscript"/>
        </w:rPr>
        <w:t>[</w:t>
      </w:r>
      <w:r>
        <w:rPr>
          <w:rFonts w:ascii="Times New Roman" w:hAnsi="宋体" w:hint="eastAsia"/>
          <w:sz w:val="24"/>
          <w:szCs w:val="24"/>
          <w:vertAlign w:val="superscript"/>
        </w:rPr>
        <w:t>27</w:t>
      </w:r>
      <w:r>
        <w:rPr>
          <w:rFonts w:ascii="Times New Roman" w:hAnsi="宋体" w:hint="eastAsia"/>
          <w:sz w:val="24"/>
          <w:szCs w:val="24"/>
          <w:vertAlign w:val="superscript"/>
        </w:rPr>
        <w:t>]</w:t>
      </w:r>
      <w:r>
        <w:rPr>
          <w:rFonts w:ascii="Times New Roman" w:hAnsi="宋体" w:hint="eastAsia"/>
          <w:sz w:val="24"/>
          <w:szCs w:val="24"/>
        </w:rPr>
        <w: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In addition, large diagnostic AI models require ongoing learning and refinement to ensure their accuracy. The accumulation of data in the field of TCM eye diagnosis is constantly increasing; therefore, the AI large-scale  model needs to adaptively incorporate new data to improve its diagnostic capabilities. Ultimately, the “knowledge-combined data-driven diagnostic model” aims to provide a comprehensive solution for intelligent eye diagnosis in TCM by fully utilizing the expertise inherited from TCM practitioners, while leveraging AI models to improve the accuracy and consistency of the diagnostic results. This approach is expected to boost the exploration of intelligent eye diagnosis in clinical settings </w:t>
      </w:r>
      <w:r>
        <w:rPr>
          <w:rFonts w:ascii="Times New Roman" w:hAnsi="宋体" w:hint="eastAsia"/>
          <w:sz w:val="24"/>
          <w:szCs w:val="24"/>
          <w:vertAlign w:val="superscript"/>
        </w:rPr>
        <w:t>[</w:t>
      </w:r>
      <w:r>
        <w:rPr>
          <w:rFonts w:ascii="Times New Roman" w:hAnsi="宋体" w:hint="eastAsia"/>
          <w:sz w:val="24"/>
          <w:szCs w:val="24"/>
          <w:vertAlign w:val="superscript"/>
        </w:rPr>
        <w:t>28</w:t>
      </w:r>
      <w:r>
        <w:rPr>
          <w:rFonts w:ascii="Times New Roman" w:hAnsi="宋体" w:hint="eastAsia"/>
          <w:sz w:val="24"/>
          <w:szCs w:val="24"/>
          <w:vertAlign w:val="superscript"/>
        </w:rPr>
        <w:t>]</w:t>
      </w:r>
      <w:r>
        <w:rPr>
          <w:rFonts w:ascii="Times New Roman" w:hAnsi="宋体" w:hint="eastAsia"/>
          <w:sz w:val="24"/>
          <w:szCs w:val="24"/>
        </w:rPr>
        <w:t>.</w:t>
      </w:r>
    </w:p>
    <w:p>
      <w:pPr>
        <w:spacing w:before="156" w:beforeLines="50" w:line="360" w:lineRule="auto"/>
        <w:jc w:val="left"/>
        <w:rPr>
          <w:rFonts w:ascii="Times New Roman" w:hAnsi="宋体"/>
          <w:sz w:val="24"/>
          <w:szCs w:val="24"/>
        </w:rPr>
      </w:pPr>
      <w:r>
        <w:rPr>
          <w:rFonts w:ascii="Times New Roman" w:hAnsi="宋体" w:hint="eastAsia"/>
          <w:b/>
          <w:sz w:val="32"/>
          <w:szCs w:val="32"/>
        </w:rPr>
        <w:t>5  Conclusion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In this manuscript, three key technologies in the realm of AI large-scale  models have been introduced: the self-supervised learning technology employed for constructing the pre-trained database, deep neural networks for training the intelligent eye diagnostic model in a hierarchical manner to accept inputs from eye diagnosis in multimodal forms, and the adjustable network weight structure for optimizing the intelligence of the AI models. Finally, the “knowledge-combined diagnostic AI model” aims to provide a comprehensive solution for the exploration of intelligent eye diagnosis in TCM, which bears great potential amid the rapid development of AI. Hopefully, the model can be developed and applied in clinical settings, offering benefits for patients as well as simplifying the work of physicians.</w:t>
      </w:r>
    </w:p>
    <w:p w14:paraId="5A44182D" w14:textId="1B58BCED" w:rsidP="00B87651" w:rsidR="008343A3" w:rsidRDefault="00B87651" w:rsidRPr="00BE7F81">
      <w:pPr>
        <w:pStyle w:val="2"/>
        <w:rPr>
          <w:rFonts w:ascii="Times New Roman" w:cs="Times New Roman" w:hAnsi="Times New Roman"/>
        </w:rPr>
      </w:pPr>
      <w:r w:rsidRPr="00BE7F81">
        <w:rPr>
          <w:rFonts w:ascii="Times New Roman" w:cs="Times New Roman" w:hAnsi="Times New Roman"/>
        </w:rPr>
        <w:t>Competing Interests</w:t>
      </w:r>
    </w:p>
    <w:p w14:paraId="223CC42A" w14:textId="34B67D1E" w:rsidP="005C371A" w:rsidR="00B87651" w:rsidRDefault="00B87651">
      <w:pPr>
        <w:autoSpaceDE w:val="0"/>
        <w:autoSpaceDN w:val="0"/>
        <w:adjustRightInd w:val="0"/>
        <w:spacing w:line="360" w:lineRule="auto"/>
        <w:jc w:val="left"/>
        <w:rPr>
          <w:rFonts w:ascii="Times New Roman" w:hAnsi="Times New Roman"/>
          <w:sz w:val="24"/>
          <w:szCs w:val="24"/>
        </w:rPr>
      </w:pPr>
      <w:r w:rsidRPr="00B87651">
        <w:rPr>
          <w:rFonts w:ascii="Times New Roman" w:hAnsi="Times New Roman"/>
          <w:sz w:val="24"/>
          <w:szCs w:val="24"/>
        </w:rPr>
        <w:t>The authors declare no conflict of interest.</w:t>
      </w:r>
    </w:p>
    <w:p w14:paraId="57EAC110" w14:textId="77777777" w:rsidP="005C371A" w:rsidR="00B87651" w:rsidRDefault="00B87651" w:rsidRPr="008343A3">
      <w:pPr>
        <w:autoSpaceDE w:val="0"/>
        <w:autoSpaceDN w:val="0"/>
        <w:adjustRightInd w:val="0"/>
        <w:spacing w:line="360" w:lineRule="auto"/>
        <w:jc w:val="left"/>
        <w:rPr>
          <w:rFonts w:ascii="Times New Roman" w:hAnsi="Times New Roman"/>
          <w:sz w:val="24"/>
          <w:szCs w:val="24"/>
        </w:rPr>
      </w:pPr>
    </w:p>
    <w:p w14:paraId="12AEBC9D" w14:textId="4B06E59A" w:rsidP="00B5060F" w:rsidR="00B5060F" w:rsidRDefault="00B5060F" w:rsidRPr="00B5060F">
      <w:pPr>
        <w:spacing w:line="360" w:lineRule="auto"/>
        <w:rPr>
          <w:rFonts w:ascii="Times New Roman" w:hAnsi="Times New Roman"/>
          <w:sz w:val="30"/>
          <w:szCs w:val="30"/>
        </w:rPr>
      </w:pPr>
      <w:r w:rsidRPr="00B5060F">
        <w:rPr>
          <w:rFonts w:ascii="Times New Roman" w:hAnsi="宋体" w:hint="eastAsia"/>
          <w:b/>
          <w:sz w:val="30"/>
          <w:szCs w:val="30"/>
        </w:rPr>
        <w:t>References</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WANG JJ. Diagnostics of eye and eye recognition. Beijing: China Press of Traditional Chinese Medicine, 2013.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XU ZW, LI HL, LI B, et al. A survey of AIGC model evaluation: enabling technologies, vulnerabilities and mitigation. Journal of Frontiers of Computer Science and Technology, 2024, 18（9）: 2293-2325.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ZHANG JY, PENG QH, YAN JF. Bibliometric analysis on research hotspots and evolutionary trends of artificial intelligence application in traditional Chinese medicine diagnosis. Digital Chinese Medicine, 2023, 6（2）: 136–150.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BOMMASANI R, HUDSON D A, ADELI E, et al. On the opportunities and risks of foundation models. ArXiv, 2021. doi: 10.48550/arXiv.2108.07258.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YU JL, YIN HZ, XIA X, et al. Self-supervised learning for recommender systems: a survey. IEEE Transactions on Knowledge and Data Engineering, 2024, 36（1）: 335–355.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DEVLIN J, CHANG M, LEE K, et al. Bert: pre-training of deep bidirectional transformers for language understanding. Proceedings of the 2019 Conference of the North American Chapter of the Association for Computational Linguistics: HumanLanguage Technologies. Stroudsburg: Association for Computational Linguistics, 2019: 4171–4186.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ROMBACH R, BLATTMANN A, LORENZ D, et al. High-resolution image synthesis with latent diffusion models. 2022 IEEE/CVF Conference on Computer Vision and Pattern Recognition （CVPR）, 2022: 10674–10685.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OpenAI. GPT-4, 2023. Available from: https://openai.com/research/gpt-4.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GAO Y, ZHANG SN, SHENG BY, et al. Thoughts on data issues in intelligent diagnosis research of TCM prompted by ChatGPT. Journal of Hunan University of Chinese Medicine, 2023, 43（7）: 1320–1324.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 XL, HUANG PD, ZHU S, et al. Problems and challenges in intelligently mining TCM clinical diagnosis and treatment data. China Journal of Traditional Chinese Medicine and Pharmacy, 2022, 37（12）: 6962–6965.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PAN J, NAKAYAMA A. Artificial intelligence and its application and prospect in life sciences. Journal of Shandong Normal University, 2024, 39（2）: 117–142.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WEN ZH, XIA SS, LIU DB, et al. Discussion on the evolution and problems of intelligent syndrome differentiation diagnosis technology in traditional Chinese medicine. Modernization of Traditional Chinese Medicine and Materia Medica-World Science and Technology, 2021, 23（11）: 4298–4304.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GONG LN, ZHOU YR, QIAO Y, et al. Research progress of pre-trained model in software engineering. Journal of Software, 2024.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TAO JH, FAN CH, LIAN Z, et al. Development of multimodal sentiment recognition and understanding. Journal of Image and Graphics, 2024, 29（6）: 1607–1627.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CHENG D, SHI YJ, SUN SX, et al. A survey on generative image editing. Journal of Beijing Institute of Fashion Technology, 2024. doi: 10.16454/j.cnki.issn.1001-0564.2024.03.001.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ZHANG WJ, DENG H, AI ZY, et al. Ruminations on the development of AI big model dataset construction in China. Artificial Intelligence, 2024（3）: 85–95.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YANG BX, LUO XD, SUN KL, et al. Recent progress on machine translation basedon pre-trained language models. Computer Science, 2024, 51（6）: 50–57.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XIA TW, LI WH, DING WJ, et al. Construction of predictive model of multimodal feature fusion of traditional Chinese and western medicine in type 2 diabetes complicated with kidney disease. China Journal of Traditional Chinese Medicine and Pharmacy, 2022, 37（7）: 4116–4120.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WEN H, LYU MB, ZHANG W, et al. Intelligent diagnosis method of Yin deficiency syndrome of type 2 diabetes mellitus based on multimodal data fusion. China Journal of Traditional Chinese Medicine and Pharmacy, 2023, 38（11）: 5436–5440.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SHE ZS, NI ZY. On complex system model of thinking and design of a new generation of expert System. Acta Scientiarum Naturalium Universitatis Pekinensis, 2011, 47（5）: 960–968.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SUI D, ZHANG L, YANG F. Data-driven based four examinations in TCM: a survey. Digital Chinese Medicine, 2022, 5（4）: 377–385.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SHE ZS, NI ZY. Scientific exploration of human complex systems. Beijing: Science Publishing House, 2012.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WEI CF, YAN JF. Study on Chinese medicine digital syndrome differentiation with its knowledge representation and reasoning methods. China Journal of Traditional Chinese Medicine and Pharmacy, 2019, 34（10）: 4471–4473.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WANG M, WANG HF, LI BH, et al. Survey on key technologies of new generation knowledge graph. Journal of Computer Research and Development, 2022, 59（9）: 1947–1965.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XU RQ, HU XJ, YAO XH, et al. Application status and analysis of research on knowledge graph in TCM diagnosis and treatment. Chinese Journal of Information on TCM, 2024. doi: 10.19879/j.cnki.1005-5304.202401438.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GUO ZH, LIU QP, ZOU BJ. Research on knowledge reasoning of TCM based on knowledge graphs. Digital Chinese Medicine, 2022, 5（4）: 386–393.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XU J. Blockbuster release of Research Report of Cognitive Graph. （2020-08-28） [2022-02-25]. Available from: https://www.aminer.cn/research_report/5f48541f3c99ce0ab7bca8fc.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GAO Y, LI DY, ZHANG SN, et al. Problems and suggestion of constructing an intelligent system for eye diagnosis in traditional Chinese medicine. China Journal of Traditional Chinese Medicine and Pharmacy, 2023, 38（10）: 4535–4539.    </w:t>
      </w:r>
    </w:p>
    <w:p w14:paraId="26DC5D90" w14:textId="77777777" w:rsidP="005C371A" w:rsidR="002C12B3" w:rsidRDefault="002C12B3" w:rsidRPr="00B5060F">
      <w:pPr>
        <w:autoSpaceDE w:val="0"/>
        <w:autoSpaceDN w:val="0"/>
        <w:adjustRightInd w:val="0"/>
        <w:spacing w:line="360" w:lineRule="auto"/>
        <w:jc w:val="left"/>
        <w:rPr>
          <w:rFonts w:ascii="Times New Roman" w:hAnsi="Times New Roman"/>
          <w:color w:val="000000"/>
          <w:kern w:val="0"/>
          <w:sz w:val="24"/>
          <w:szCs w:val="24"/>
        </w:rPr>
      </w:pPr>
    </w:p>
    <w:sectPr w:rsidR="002C12B3" w:rsidRPr="00B5060F" w:rsidSect="008F060C">
      <w:pgSz w:h="16838" w:w="11906"/>
      <w:pgMar w:bottom="1440" w:footer="992" w:gutter="0" w:header="851" w:left="1800" w:right="1800" w:top="1440"/>
      <w:cols w:space="425"/>
      <w:docGrid w:linePitch="312" w:type="line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5F92A9" w14:textId="77777777" w:rsidR="002A6FE7" w:rsidRDefault="002A6FE7" w:rsidP="00EA1486">
      <w:r>
        <w:separator/>
      </w:r>
    </w:p>
  </w:endnote>
  <w:endnote w:type="continuationSeparator" w:id="0">
    <w:p w14:paraId="3C7D9088" w14:textId="77777777" w:rsidR="002A6FE7" w:rsidRDefault="002A6FE7" w:rsidP="00EA1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footnote w:id="-1" w:type="separator">
    <w:p w14:paraId="534B71F7" w14:textId="77777777" w:rsidP="00EA1486" w:rsidR="002A6FE7" w:rsidRDefault="002A6FE7">
      <w:r>
        <w:separator/>
      </w:r>
    </w:p>
  </w:footnote>
  <w:footnote w:id="0" w:type="continuationSeparator">
    <w:p w14:paraId="49F33D81" w14:textId="77777777" w:rsidP="00EA1486" w:rsidR="002A6FE7" w:rsidRDefault="002A6FE7">
      <w:r>
        <w:continuationSeparator/>
      </w:r>
    </w:p>
  </w:footnote>
</w:footnotes>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abstractNum w15:restartNumberingAfterBreak="0" w:abstractNumId="0">
    <w:nsid w:val="72E75011"/>
    <w:multiLevelType w:val="hybridMultilevel"/>
    <w:tmpl w:val="B6F8FA26"/>
    <w:lvl w:ilvl="0" w:tplc="67B4EFC4">
      <w:start w:val="1"/>
      <w:numFmt w:val="decimal"/>
      <w:lvlText w:val="[%1]"/>
      <w:lvlJc w:val="left"/>
      <w:pPr>
        <w:ind w:hanging="420" w:left="420"/>
      </w:pPr>
      <w:rPr>
        <w:rFonts w:hint="eastAsia"/>
      </w:rPr>
    </w:lvl>
    <w:lvl w:ilvl="1" w:tentative="1" w:tplc="04090019">
      <w:start w:val="1"/>
      <w:numFmt w:val="lowerLetter"/>
      <w:lvlText w:val="%2)"/>
      <w:lvlJc w:val="left"/>
      <w:pPr>
        <w:ind w:hanging="420" w:left="840"/>
      </w:pPr>
    </w:lvl>
    <w:lvl w:ilvl="2" w:tentative="1" w:tplc="0409001B">
      <w:start w:val="1"/>
      <w:numFmt w:val="lowerRoman"/>
      <w:lvlText w:val="%3."/>
      <w:lvlJc w:val="right"/>
      <w:pPr>
        <w:ind w:hanging="420" w:left="1260"/>
      </w:pPr>
    </w:lvl>
    <w:lvl w:ilvl="3" w:tentative="1" w:tplc="0409000F">
      <w:start w:val="1"/>
      <w:numFmt w:val="decimal"/>
      <w:lvlText w:val="%4."/>
      <w:lvlJc w:val="left"/>
      <w:pPr>
        <w:ind w:hanging="420" w:left="1680"/>
      </w:pPr>
    </w:lvl>
    <w:lvl w:ilvl="4" w:tentative="1" w:tplc="04090019">
      <w:start w:val="1"/>
      <w:numFmt w:val="lowerLetter"/>
      <w:lvlText w:val="%5)"/>
      <w:lvlJc w:val="left"/>
      <w:pPr>
        <w:ind w:hanging="420" w:left="2100"/>
      </w:pPr>
    </w:lvl>
    <w:lvl w:ilvl="5" w:tentative="1" w:tplc="0409001B">
      <w:start w:val="1"/>
      <w:numFmt w:val="lowerRoman"/>
      <w:lvlText w:val="%6."/>
      <w:lvlJc w:val="right"/>
      <w:pPr>
        <w:ind w:hanging="420" w:left="2520"/>
      </w:pPr>
    </w:lvl>
    <w:lvl w:ilvl="6" w:tentative="1" w:tplc="0409000F">
      <w:start w:val="1"/>
      <w:numFmt w:val="decimal"/>
      <w:lvlText w:val="%7."/>
      <w:lvlJc w:val="left"/>
      <w:pPr>
        <w:ind w:hanging="420" w:left="2940"/>
      </w:pPr>
    </w:lvl>
    <w:lvl w:ilvl="7" w:tentative="1" w:tplc="04090019">
      <w:start w:val="1"/>
      <w:numFmt w:val="lowerLetter"/>
      <w:lvlText w:val="%8)"/>
      <w:lvlJc w:val="left"/>
      <w:pPr>
        <w:ind w:hanging="420" w:left="3360"/>
      </w:pPr>
    </w:lvl>
    <w:lvl w:ilvl="8" w:tentative="1" w:tplc="0409001B">
      <w:start w:val="1"/>
      <w:numFmt w:val="lowerRoman"/>
      <w:lvlText w:val="%9."/>
      <w:lvlJc w:val="right"/>
      <w:pPr>
        <w:ind w:hanging="420" w:left="3780"/>
      </w:pPr>
    </w:lvl>
  </w:abstractNum>
  <w:num w:numId="1">
    <w:abstractNumId w:val="0"/>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mc:Ignorable="w14 w15 w16se w16cid w16 w16cex">
  <w:zoom w:percent="100"/>
  <w:bordersDoNotSurroundHeader/>
  <w:bordersDoNotSurroundFooter/>
  <w:proofState w:grammar="clean" w:spelling="clean"/>
  <w:defaultTabStop w:val="420"/>
  <w:drawingGridVerticalSpacing w:val="156"/>
  <w:displayHorizontalDrawingGridEvery w:val="0"/>
  <w:displayVerticalDrawingGridEvery w:val="2"/>
  <w:characterSpacingControl w:val="compressPunctuation"/>
  <w:hdrShapeDefaults>
    <o:shapedefaults spidmax="2049" v:ext="edi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aurora:used-aurora" w:val="i:1"/>
  </w:docVars>
  <w:rsids>
    <w:rsidRoot w:val="0053570B"/>
    <w:rsid w:val="000016A6"/>
    <w:rsid w:val="000045E4"/>
    <w:rsid w:val="00013430"/>
    <w:rsid w:val="000137E1"/>
    <w:rsid w:val="00014054"/>
    <w:rsid w:val="00027521"/>
    <w:rsid w:val="00034EF0"/>
    <w:rsid w:val="000478C8"/>
    <w:rsid w:val="00084862"/>
    <w:rsid w:val="000914F5"/>
    <w:rsid w:val="00093B3E"/>
    <w:rsid w:val="000960D8"/>
    <w:rsid w:val="000A3BD8"/>
    <w:rsid w:val="000D4C02"/>
    <w:rsid w:val="000E10F8"/>
    <w:rsid w:val="000E2E77"/>
    <w:rsid w:val="000F5F9B"/>
    <w:rsid w:val="00100EF1"/>
    <w:rsid w:val="00101806"/>
    <w:rsid w:val="001136F1"/>
    <w:rsid w:val="00114E70"/>
    <w:rsid w:val="001256C2"/>
    <w:rsid w:val="00130900"/>
    <w:rsid w:val="00135FCC"/>
    <w:rsid w:val="00136391"/>
    <w:rsid w:val="001516C9"/>
    <w:rsid w:val="00156DB6"/>
    <w:rsid w:val="00181FB4"/>
    <w:rsid w:val="0018715B"/>
    <w:rsid w:val="001A19F4"/>
    <w:rsid w:val="001A1E52"/>
    <w:rsid w:val="001A5A0E"/>
    <w:rsid w:val="001A791D"/>
    <w:rsid w:val="001B0B8C"/>
    <w:rsid w:val="001C25F9"/>
    <w:rsid w:val="001C3EF3"/>
    <w:rsid w:val="001C7B7E"/>
    <w:rsid w:val="001D1F8D"/>
    <w:rsid w:val="001D4C53"/>
    <w:rsid w:val="001D675B"/>
    <w:rsid w:val="001D7235"/>
    <w:rsid w:val="001E105E"/>
    <w:rsid w:val="001E4492"/>
    <w:rsid w:val="001F0CB6"/>
    <w:rsid w:val="0020412F"/>
    <w:rsid w:val="00206C27"/>
    <w:rsid w:val="00210BC9"/>
    <w:rsid w:val="00212D85"/>
    <w:rsid w:val="00231249"/>
    <w:rsid w:val="002324FE"/>
    <w:rsid w:val="00232F4C"/>
    <w:rsid w:val="002500D0"/>
    <w:rsid w:val="0025644B"/>
    <w:rsid w:val="002605A9"/>
    <w:rsid w:val="002630F8"/>
    <w:rsid w:val="00264A38"/>
    <w:rsid w:val="00293945"/>
    <w:rsid w:val="00297CB4"/>
    <w:rsid w:val="002A258D"/>
    <w:rsid w:val="002A6FE7"/>
    <w:rsid w:val="002A70C2"/>
    <w:rsid w:val="002B25D2"/>
    <w:rsid w:val="002B29DB"/>
    <w:rsid w:val="002C0F41"/>
    <w:rsid w:val="002C12B3"/>
    <w:rsid w:val="002C1819"/>
    <w:rsid w:val="002C4D05"/>
    <w:rsid w:val="002D7784"/>
    <w:rsid w:val="002E4BCD"/>
    <w:rsid w:val="002F1EBB"/>
    <w:rsid w:val="002F3967"/>
    <w:rsid w:val="002F6B73"/>
    <w:rsid w:val="00301F95"/>
    <w:rsid w:val="00305C29"/>
    <w:rsid w:val="00306EE2"/>
    <w:rsid w:val="00310294"/>
    <w:rsid w:val="0031356C"/>
    <w:rsid w:val="00332F7B"/>
    <w:rsid w:val="00337895"/>
    <w:rsid w:val="00355BC6"/>
    <w:rsid w:val="00371B5E"/>
    <w:rsid w:val="003779E6"/>
    <w:rsid w:val="003C696D"/>
    <w:rsid w:val="003E1E0C"/>
    <w:rsid w:val="003E5AF3"/>
    <w:rsid w:val="003F0A26"/>
    <w:rsid w:val="003F3ACC"/>
    <w:rsid w:val="003F6645"/>
    <w:rsid w:val="0040318F"/>
    <w:rsid w:val="00410687"/>
    <w:rsid w:val="0042409C"/>
    <w:rsid w:val="0042592E"/>
    <w:rsid w:val="004277B1"/>
    <w:rsid w:val="004307CC"/>
    <w:rsid w:val="00432EEB"/>
    <w:rsid w:val="004378B0"/>
    <w:rsid w:val="00456537"/>
    <w:rsid w:val="00456D16"/>
    <w:rsid w:val="00463B32"/>
    <w:rsid w:val="00464B65"/>
    <w:rsid w:val="0046750E"/>
    <w:rsid w:val="00477AEE"/>
    <w:rsid w:val="00482362"/>
    <w:rsid w:val="004903C9"/>
    <w:rsid w:val="00496C93"/>
    <w:rsid w:val="004A5725"/>
    <w:rsid w:val="004A7329"/>
    <w:rsid w:val="004C5618"/>
    <w:rsid w:val="004C7569"/>
    <w:rsid w:val="004D0E63"/>
    <w:rsid w:val="004D1FE7"/>
    <w:rsid w:val="004D29AC"/>
    <w:rsid w:val="004D62EB"/>
    <w:rsid w:val="004E17ED"/>
    <w:rsid w:val="004E65F1"/>
    <w:rsid w:val="004F6580"/>
    <w:rsid w:val="005012A1"/>
    <w:rsid w:val="00511E95"/>
    <w:rsid w:val="00520A8C"/>
    <w:rsid w:val="005319D9"/>
    <w:rsid w:val="0053570B"/>
    <w:rsid w:val="00535A7B"/>
    <w:rsid w:val="00554E3C"/>
    <w:rsid w:val="00556D38"/>
    <w:rsid w:val="005620D6"/>
    <w:rsid w:val="00563EB8"/>
    <w:rsid w:val="005748F4"/>
    <w:rsid w:val="00575C01"/>
    <w:rsid w:val="00580D0E"/>
    <w:rsid w:val="005B3B61"/>
    <w:rsid w:val="005C0043"/>
    <w:rsid w:val="005C0ED3"/>
    <w:rsid w:val="005C2A2B"/>
    <w:rsid w:val="005C371A"/>
    <w:rsid w:val="005D71D7"/>
    <w:rsid w:val="005F1228"/>
    <w:rsid w:val="005F6C00"/>
    <w:rsid w:val="005F7722"/>
    <w:rsid w:val="00627D80"/>
    <w:rsid w:val="00634D21"/>
    <w:rsid w:val="006460D2"/>
    <w:rsid w:val="0065237D"/>
    <w:rsid w:val="00652A46"/>
    <w:rsid w:val="00674201"/>
    <w:rsid w:val="00677977"/>
    <w:rsid w:val="006814A3"/>
    <w:rsid w:val="00691281"/>
    <w:rsid w:val="00696D83"/>
    <w:rsid w:val="00697D65"/>
    <w:rsid w:val="006A14EB"/>
    <w:rsid w:val="006A5E40"/>
    <w:rsid w:val="006A64B5"/>
    <w:rsid w:val="006A6915"/>
    <w:rsid w:val="006B1229"/>
    <w:rsid w:val="006D4BF4"/>
    <w:rsid w:val="006D541E"/>
    <w:rsid w:val="006D699E"/>
    <w:rsid w:val="006E3C3B"/>
    <w:rsid w:val="006F097A"/>
    <w:rsid w:val="006F6A77"/>
    <w:rsid w:val="00704F21"/>
    <w:rsid w:val="00706802"/>
    <w:rsid w:val="00713A9B"/>
    <w:rsid w:val="007255FC"/>
    <w:rsid w:val="00737231"/>
    <w:rsid w:val="007431AE"/>
    <w:rsid w:val="007628C4"/>
    <w:rsid w:val="00764643"/>
    <w:rsid w:val="007665E6"/>
    <w:rsid w:val="00783AAA"/>
    <w:rsid w:val="00796D1B"/>
    <w:rsid w:val="00796EB1"/>
    <w:rsid w:val="007A33CA"/>
    <w:rsid w:val="007A7196"/>
    <w:rsid w:val="007C09EC"/>
    <w:rsid w:val="007C2AAC"/>
    <w:rsid w:val="007C2BAF"/>
    <w:rsid w:val="007D77F0"/>
    <w:rsid w:val="007E2948"/>
    <w:rsid w:val="007E6481"/>
    <w:rsid w:val="007F207E"/>
    <w:rsid w:val="007F5521"/>
    <w:rsid w:val="00802EED"/>
    <w:rsid w:val="00813561"/>
    <w:rsid w:val="00815C29"/>
    <w:rsid w:val="00822A74"/>
    <w:rsid w:val="008343A3"/>
    <w:rsid w:val="008421F8"/>
    <w:rsid w:val="00846326"/>
    <w:rsid w:val="00851544"/>
    <w:rsid w:val="00853581"/>
    <w:rsid w:val="0086569B"/>
    <w:rsid w:val="00873E3B"/>
    <w:rsid w:val="00880C2D"/>
    <w:rsid w:val="008A3211"/>
    <w:rsid w:val="008A3D26"/>
    <w:rsid w:val="008A4549"/>
    <w:rsid w:val="008A601E"/>
    <w:rsid w:val="008B00EA"/>
    <w:rsid w:val="008B4B96"/>
    <w:rsid w:val="008B5936"/>
    <w:rsid w:val="008E2D7D"/>
    <w:rsid w:val="008F060C"/>
    <w:rsid w:val="008F6F80"/>
    <w:rsid w:val="0090540F"/>
    <w:rsid w:val="00907B50"/>
    <w:rsid w:val="009133B2"/>
    <w:rsid w:val="00915B6E"/>
    <w:rsid w:val="00916E48"/>
    <w:rsid w:val="0092236D"/>
    <w:rsid w:val="009230B8"/>
    <w:rsid w:val="00923CF2"/>
    <w:rsid w:val="00923D8A"/>
    <w:rsid w:val="0092710D"/>
    <w:rsid w:val="00932738"/>
    <w:rsid w:val="0093285E"/>
    <w:rsid w:val="00947720"/>
    <w:rsid w:val="00952A11"/>
    <w:rsid w:val="00961143"/>
    <w:rsid w:val="009676E0"/>
    <w:rsid w:val="00996DC3"/>
    <w:rsid w:val="00997023"/>
    <w:rsid w:val="009A0E14"/>
    <w:rsid w:val="009A1D81"/>
    <w:rsid w:val="009B1796"/>
    <w:rsid w:val="009B1B6F"/>
    <w:rsid w:val="009B6768"/>
    <w:rsid w:val="009C5614"/>
    <w:rsid w:val="009C6504"/>
    <w:rsid w:val="009C6D1A"/>
    <w:rsid w:val="009D0800"/>
    <w:rsid w:val="009E3DEA"/>
    <w:rsid w:val="009E5D11"/>
    <w:rsid w:val="00A077F8"/>
    <w:rsid w:val="00A31BB0"/>
    <w:rsid w:val="00A323A0"/>
    <w:rsid w:val="00A40E5C"/>
    <w:rsid w:val="00A42D69"/>
    <w:rsid w:val="00A471F3"/>
    <w:rsid w:val="00A50F31"/>
    <w:rsid w:val="00A556A3"/>
    <w:rsid w:val="00A57A9F"/>
    <w:rsid w:val="00A57AA8"/>
    <w:rsid w:val="00A70551"/>
    <w:rsid w:val="00A7587E"/>
    <w:rsid w:val="00A8045F"/>
    <w:rsid w:val="00AA655E"/>
    <w:rsid w:val="00AB4D30"/>
    <w:rsid w:val="00AB6467"/>
    <w:rsid w:val="00AC3D34"/>
    <w:rsid w:val="00AD0080"/>
    <w:rsid w:val="00AE1419"/>
    <w:rsid w:val="00AF3F2A"/>
    <w:rsid w:val="00AF448C"/>
    <w:rsid w:val="00B11A39"/>
    <w:rsid w:val="00B17A6E"/>
    <w:rsid w:val="00B45F8C"/>
    <w:rsid w:val="00B5060F"/>
    <w:rsid w:val="00B706CF"/>
    <w:rsid w:val="00B74CDE"/>
    <w:rsid w:val="00B84F3E"/>
    <w:rsid w:val="00B87651"/>
    <w:rsid w:val="00B916B0"/>
    <w:rsid w:val="00BA1135"/>
    <w:rsid w:val="00BA5310"/>
    <w:rsid w:val="00BB0703"/>
    <w:rsid w:val="00BB3994"/>
    <w:rsid w:val="00BB4ABE"/>
    <w:rsid w:val="00BC1B18"/>
    <w:rsid w:val="00BC3FE8"/>
    <w:rsid w:val="00BE05FE"/>
    <w:rsid w:val="00BE12C2"/>
    <w:rsid w:val="00BE3EC2"/>
    <w:rsid w:val="00BE7F81"/>
    <w:rsid w:val="00BF099C"/>
    <w:rsid w:val="00BF0E51"/>
    <w:rsid w:val="00BF4207"/>
    <w:rsid w:val="00C030CA"/>
    <w:rsid w:val="00C126D0"/>
    <w:rsid w:val="00C12F6C"/>
    <w:rsid w:val="00C15EB7"/>
    <w:rsid w:val="00C24D88"/>
    <w:rsid w:val="00C25176"/>
    <w:rsid w:val="00C273DF"/>
    <w:rsid w:val="00C3609D"/>
    <w:rsid w:val="00C45D43"/>
    <w:rsid w:val="00C546F0"/>
    <w:rsid w:val="00C72B10"/>
    <w:rsid w:val="00C73864"/>
    <w:rsid w:val="00C935A2"/>
    <w:rsid w:val="00C9564D"/>
    <w:rsid w:val="00CA2776"/>
    <w:rsid w:val="00CA6EA9"/>
    <w:rsid w:val="00CB5358"/>
    <w:rsid w:val="00CB5543"/>
    <w:rsid w:val="00CD1134"/>
    <w:rsid w:val="00CE042C"/>
    <w:rsid w:val="00CE0F68"/>
    <w:rsid w:val="00CF7354"/>
    <w:rsid w:val="00D130CD"/>
    <w:rsid w:val="00D15CF5"/>
    <w:rsid w:val="00D20DC7"/>
    <w:rsid w:val="00D239C0"/>
    <w:rsid w:val="00D258A6"/>
    <w:rsid w:val="00D329B7"/>
    <w:rsid w:val="00D41906"/>
    <w:rsid w:val="00D4196F"/>
    <w:rsid w:val="00D45461"/>
    <w:rsid w:val="00D56E9E"/>
    <w:rsid w:val="00D60E86"/>
    <w:rsid w:val="00D64A22"/>
    <w:rsid w:val="00D70FEF"/>
    <w:rsid w:val="00D930C4"/>
    <w:rsid w:val="00DA03C8"/>
    <w:rsid w:val="00DB059D"/>
    <w:rsid w:val="00DB3F11"/>
    <w:rsid w:val="00DB6769"/>
    <w:rsid w:val="00DB7920"/>
    <w:rsid w:val="00DC0F24"/>
    <w:rsid w:val="00DC703B"/>
    <w:rsid w:val="00DD3B47"/>
    <w:rsid w:val="00DE0A98"/>
    <w:rsid w:val="00DE4AB1"/>
    <w:rsid w:val="00DF75F7"/>
    <w:rsid w:val="00E02BCB"/>
    <w:rsid w:val="00E124A2"/>
    <w:rsid w:val="00E23C39"/>
    <w:rsid w:val="00E2401A"/>
    <w:rsid w:val="00E27DBD"/>
    <w:rsid w:val="00E3596C"/>
    <w:rsid w:val="00E415C2"/>
    <w:rsid w:val="00E559E8"/>
    <w:rsid w:val="00E66C3B"/>
    <w:rsid w:val="00E70179"/>
    <w:rsid w:val="00E71673"/>
    <w:rsid w:val="00E7350D"/>
    <w:rsid w:val="00E73B83"/>
    <w:rsid w:val="00E752EF"/>
    <w:rsid w:val="00E7542C"/>
    <w:rsid w:val="00E927BD"/>
    <w:rsid w:val="00E97DE7"/>
    <w:rsid w:val="00EA03E3"/>
    <w:rsid w:val="00EA1486"/>
    <w:rsid w:val="00EB198E"/>
    <w:rsid w:val="00EB3006"/>
    <w:rsid w:val="00EB4777"/>
    <w:rsid w:val="00EC3258"/>
    <w:rsid w:val="00EC616F"/>
    <w:rsid w:val="00EE0B90"/>
    <w:rsid w:val="00F01E6D"/>
    <w:rsid w:val="00F11638"/>
    <w:rsid w:val="00F13E7B"/>
    <w:rsid w:val="00F24AD4"/>
    <w:rsid w:val="00F25175"/>
    <w:rsid w:val="00F428EA"/>
    <w:rsid w:val="00F438FF"/>
    <w:rsid w:val="00F47C32"/>
    <w:rsid w:val="00F5235C"/>
    <w:rsid w:val="00F6507C"/>
    <w:rsid w:val="00F653E7"/>
    <w:rsid w:val="00F726FF"/>
    <w:rsid w:val="00F73EB3"/>
    <w:rsid w:val="00F96146"/>
    <w:rsid w:val="00F972B1"/>
    <w:rsid w:val="00FA3D32"/>
    <w:rsid w:val="00FA459F"/>
    <w:rsid w:val="00FA48D7"/>
    <w:rsid w:val="00FB0A40"/>
    <w:rsid w:val="00FB1B3A"/>
    <w:rsid w:val="00FD1B3B"/>
    <w:rsid w:val="00FE0CBE"/>
    <w:rsid w:val="00FE225A"/>
    <w:rsid w:val="00FE37AE"/>
    <w:rsid w:val="00FE4FE7"/>
  </w:rsids>
  <m:mathPr>
    <m:mathFont m:val="Cambria Math"/>
    <m:brkBin m:val="before"/>
    <m:brkBinSub m:val="--"/>
    <m:smallFrac m:val="0"/>
    <m:dispDef/>
    <m:lMargin m:val="0"/>
    <m:rMargin m:val="0"/>
    <m:defJc m:val="centerGroup"/>
    <m:wrapIndent m:val="1440"/>
    <m:intLim m:val="subSup"/>
    <m:naryLim m:val="undOvr"/>
  </m:mathPr>
  <w:themeFontLang w:eastAsia="zh-CN"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87D827E"/>
  <w15:docId w15:val="{16CEBD41-E577-4A29-B707-DC208F136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mc:Ignorable="w14 w15 w16se w16cid w16 w16cex">
  <w:docDefaults>
    <w:rPrDefault>
      <w:rPr>
        <w:rFonts w:ascii="Calibri" w:cs="Times New Roman" w:eastAsia="宋体" w:hAnsi="Calibri"/>
        <w:lang w:bidi="ar-SA" w:eastAsia="zh-CN" w:val="en-US"/>
      </w:rPr>
    </w:rPrDefault>
    <w:pPrDefault/>
  </w:docDefaults>
  <w:latentStyles w:count="376"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default="1" w:styleId="a" w:type="paragraph">
    <w:name w:val="Normal"/>
    <w:qFormat/>
    <w:rsid w:val="00575C01"/>
    <w:pPr>
      <w:widowControl w:val="0"/>
      <w:jc w:val="both"/>
    </w:pPr>
    <w:rPr>
      <w:kern w:val="2"/>
      <w:sz w:val="21"/>
      <w:szCs w:val="22"/>
    </w:rPr>
  </w:style>
  <w:style w:styleId="2" w:type="paragraph">
    <w:name w:val="heading 2"/>
    <w:basedOn w:val="a"/>
    <w:next w:val="a"/>
    <w:link w:val="20"/>
    <w:uiPriority w:val="9"/>
    <w:unhideWhenUsed/>
    <w:qFormat/>
    <w:rsid w:val="00B87651"/>
    <w:pPr>
      <w:keepNext/>
      <w:keepLines/>
      <w:spacing w:after="260" w:before="260" w:line="416" w:lineRule="auto"/>
      <w:outlineLvl w:val="1"/>
    </w:pPr>
    <w:rPr>
      <w:rFonts w:asciiTheme="majorHAnsi" w:cstheme="majorBidi" w:eastAsiaTheme="majorEastAsia" w:hAnsiTheme="majorHAnsi"/>
      <w:b/>
      <w:bCs/>
      <w:sz w:val="32"/>
      <w:szCs w:val="32"/>
    </w:rPr>
  </w:style>
  <w:style w:default="1" w:styleId="a0" w:type="character">
    <w:name w:val="Default Paragraph Font"/>
    <w:uiPriority w:val="1"/>
    <w:semiHidden/>
    <w:unhideWhenUsed/>
  </w:style>
  <w:style w:default="1" w:styleId="a1" w:type="table">
    <w:name w:val="Normal Table"/>
    <w:uiPriority w:val="99"/>
    <w:semiHidden/>
    <w:unhideWhenUsed/>
    <w:tblPr>
      <w:tblInd w:type="dxa" w:w="0"/>
      <w:tblCellMar>
        <w:top w:type="dxa" w:w="0"/>
        <w:left w:type="dxa" w:w="108"/>
        <w:bottom w:type="dxa" w:w="0"/>
        <w:right w:type="dxa" w:w="108"/>
      </w:tblCellMar>
    </w:tblPr>
  </w:style>
  <w:style w:default="1" w:styleId="a2" w:type="numbering">
    <w:name w:val="No List"/>
    <w:uiPriority w:val="99"/>
    <w:semiHidden/>
    <w:unhideWhenUsed/>
  </w:style>
  <w:style w:styleId="a3" w:type="paragraph">
    <w:name w:val="Balloon Text"/>
    <w:basedOn w:val="a"/>
    <w:link w:val="a4"/>
    <w:uiPriority w:val="99"/>
    <w:semiHidden/>
    <w:unhideWhenUsed/>
    <w:rsid w:val="0053570B"/>
    <w:rPr>
      <w:kern w:val="0"/>
      <w:sz w:val="18"/>
      <w:szCs w:val="18"/>
    </w:rPr>
  </w:style>
  <w:style w:customStyle="1" w:styleId="a4" w:type="character">
    <w:name w:val="批注框文本 字符"/>
    <w:link w:val="a3"/>
    <w:uiPriority w:val="99"/>
    <w:semiHidden/>
    <w:rsid w:val="0053570B"/>
    <w:rPr>
      <w:sz w:val="18"/>
      <w:szCs w:val="18"/>
    </w:rPr>
  </w:style>
  <w:style w:styleId="a5" w:type="paragraph">
    <w:name w:val="header"/>
    <w:basedOn w:val="a"/>
    <w:link w:val="a6"/>
    <w:uiPriority w:val="99"/>
    <w:unhideWhenUsed/>
    <w:rsid w:val="00EA1486"/>
    <w:pPr>
      <w:pBdr>
        <w:bottom w:color="auto" w:space="1" w:sz="6" w:val="single"/>
      </w:pBdr>
      <w:tabs>
        <w:tab w:pos="4153" w:val="center"/>
        <w:tab w:pos="8306" w:val="right"/>
      </w:tabs>
      <w:snapToGrid w:val="0"/>
      <w:jc w:val="center"/>
    </w:pPr>
    <w:rPr>
      <w:sz w:val="18"/>
      <w:szCs w:val="18"/>
    </w:rPr>
  </w:style>
  <w:style w:customStyle="1" w:styleId="a6" w:type="character">
    <w:name w:val="页眉 字符"/>
    <w:link w:val="a5"/>
    <w:uiPriority w:val="99"/>
    <w:rsid w:val="00EA1486"/>
    <w:rPr>
      <w:kern w:val="2"/>
      <w:sz w:val="18"/>
      <w:szCs w:val="18"/>
    </w:rPr>
  </w:style>
  <w:style w:styleId="a7" w:type="paragraph">
    <w:name w:val="footer"/>
    <w:basedOn w:val="a"/>
    <w:link w:val="a8"/>
    <w:uiPriority w:val="99"/>
    <w:unhideWhenUsed/>
    <w:rsid w:val="00EA1486"/>
    <w:pPr>
      <w:tabs>
        <w:tab w:pos="4153" w:val="center"/>
        <w:tab w:pos="8306" w:val="right"/>
      </w:tabs>
      <w:snapToGrid w:val="0"/>
      <w:jc w:val="left"/>
    </w:pPr>
    <w:rPr>
      <w:sz w:val="18"/>
      <w:szCs w:val="18"/>
    </w:rPr>
  </w:style>
  <w:style w:customStyle="1" w:styleId="a8" w:type="character">
    <w:name w:val="页脚 字符"/>
    <w:link w:val="a7"/>
    <w:uiPriority w:val="99"/>
    <w:rsid w:val="00EA1486"/>
    <w:rPr>
      <w:kern w:val="2"/>
      <w:sz w:val="18"/>
      <w:szCs w:val="18"/>
    </w:rPr>
  </w:style>
  <w:style w:styleId="a9" w:type="character">
    <w:name w:val="Hyperlink"/>
    <w:uiPriority w:val="99"/>
    <w:semiHidden/>
    <w:unhideWhenUsed/>
    <w:rsid w:val="00EA1486"/>
    <w:rPr>
      <w:color w:val="0000CC"/>
      <w:u w:val="single"/>
    </w:rPr>
  </w:style>
  <w:style w:styleId="aa" w:type="paragraph">
    <w:name w:val="Document Map"/>
    <w:basedOn w:val="a"/>
    <w:link w:val="ab"/>
    <w:uiPriority w:val="99"/>
    <w:semiHidden/>
    <w:unhideWhenUsed/>
    <w:rsid w:val="00696D83"/>
    <w:rPr>
      <w:rFonts w:ascii="宋体"/>
      <w:sz w:val="18"/>
      <w:szCs w:val="18"/>
    </w:rPr>
  </w:style>
  <w:style w:customStyle="1" w:styleId="ab" w:type="character">
    <w:name w:val="文档结构图 字符"/>
    <w:basedOn w:val="a0"/>
    <w:link w:val="aa"/>
    <w:uiPriority w:val="99"/>
    <w:semiHidden/>
    <w:rsid w:val="00696D83"/>
    <w:rPr>
      <w:rFonts w:ascii="宋体"/>
      <w:kern w:val="2"/>
      <w:sz w:val="18"/>
      <w:szCs w:val="18"/>
    </w:rPr>
  </w:style>
  <w:style w:styleId="ac" w:type="table">
    <w:name w:val="Table Grid"/>
    <w:basedOn w:val="a1"/>
    <w:uiPriority w:val="59"/>
    <w:rsid w:val="004307C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DecimalAligned" w:type="paragraph">
    <w:name w:val="Decimal Aligned"/>
    <w:basedOn w:val="a"/>
    <w:uiPriority w:val="40"/>
    <w:qFormat/>
    <w:rsid w:val="00114E70"/>
    <w:pPr>
      <w:widowControl/>
      <w:tabs>
        <w:tab w:pos="360" w:val="decimal"/>
      </w:tabs>
      <w:spacing w:after="200" w:line="276" w:lineRule="auto"/>
      <w:jc w:val="left"/>
    </w:pPr>
    <w:rPr>
      <w:rFonts w:asciiTheme="minorHAnsi" w:cstheme="minorBidi" w:eastAsiaTheme="minorEastAsia" w:hAnsiTheme="minorHAnsi"/>
      <w:kern w:val="0"/>
      <w:sz w:val="22"/>
    </w:rPr>
  </w:style>
  <w:style w:styleId="ad" w:type="paragraph">
    <w:name w:val="footnote text"/>
    <w:basedOn w:val="a"/>
    <w:link w:val="ae"/>
    <w:uiPriority w:val="99"/>
    <w:unhideWhenUsed/>
    <w:rsid w:val="00114E70"/>
    <w:pPr>
      <w:widowControl/>
      <w:jc w:val="left"/>
    </w:pPr>
    <w:rPr>
      <w:rFonts w:asciiTheme="minorHAnsi" w:cstheme="minorBidi" w:eastAsiaTheme="minorEastAsia" w:hAnsiTheme="minorHAnsi"/>
      <w:kern w:val="0"/>
      <w:sz w:val="20"/>
      <w:szCs w:val="20"/>
    </w:rPr>
  </w:style>
  <w:style w:customStyle="1" w:styleId="ae" w:type="character">
    <w:name w:val="脚注文本 字符"/>
    <w:basedOn w:val="a0"/>
    <w:link w:val="ad"/>
    <w:uiPriority w:val="99"/>
    <w:rsid w:val="00114E70"/>
    <w:rPr>
      <w:rFonts w:asciiTheme="minorHAnsi" w:cstheme="minorBidi" w:eastAsiaTheme="minorEastAsia" w:hAnsiTheme="minorHAnsi"/>
    </w:rPr>
  </w:style>
  <w:style w:styleId="af" w:type="character">
    <w:name w:val="Subtle Emphasis"/>
    <w:basedOn w:val="a0"/>
    <w:uiPriority w:val="19"/>
    <w:qFormat/>
    <w:rsid w:val="00114E70"/>
    <w:rPr>
      <w:rFonts w:cstheme="minorBidi" w:eastAsiaTheme="minorEastAsia"/>
      <w:bCs w:val="0"/>
      <w:i/>
      <w:iCs/>
      <w:color w:themeColor="text1" w:themeTint="7F" w:val="808080"/>
      <w:szCs w:val="22"/>
      <w:lang w:eastAsia="zh-CN"/>
    </w:rPr>
  </w:style>
  <w:style w:styleId="-1" w:type="table">
    <w:name w:val="Light Shading Accent 1"/>
    <w:basedOn w:val="a1"/>
    <w:uiPriority w:val="60"/>
    <w:rsid w:val="00114E70"/>
    <w:rPr>
      <w:rFonts w:asciiTheme="minorHAnsi" w:cstheme="minorBidi" w:eastAsiaTheme="minorEastAsia" w:hAnsiTheme="minorHAnsi"/>
      <w:color w:themeColor="accent1" w:themeShade="BF" w:val="365F91"/>
      <w:sz w:val="22"/>
      <w:szCs w:val="22"/>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customStyle="1" w:styleId="1" w:type="table">
    <w:name w:val="日历 1"/>
    <w:basedOn w:val="a1"/>
    <w:uiPriority w:val="99"/>
    <w:qFormat/>
    <w:rsid w:val="006A6915"/>
    <w:rPr>
      <w:rFonts w:asciiTheme="minorHAnsi" w:cstheme="minorBidi" w:eastAsiaTheme="minorEastAsia" w:hAnsiTheme="minorHAnsi"/>
      <w:sz w:val="22"/>
      <w:szCs w:val="22"/>
    </w:rPr>
    <w:tblPr>
      <w:tblStyleRowBandSize w:val="1"/>
      <w:tblStyleColBandSize w:val="1"/>
    </w:tblPr>
    <w:tcPr>
      <w:shd w:color="auto" w:fill="auto" w:val="clear"/>
    </w:tcPr>
    <w:tblStylePr w:type="firstRow">
      <w:pPr>
        <w:wordWrap/>
        <w:spacing w:afterAutospacing="0" w:afterLines="0" w:beforeAutospacing="0" w:beforeLines="0" w:line="240" w:lineRule="auto"/>
      </w:pPr>
      <w:rPr>
        <w:rFonts w:asciiTheme="minorHAnsi" w:eastAsiaTheme="minorEastAsia"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color="auto" w:fill="auto" w:val="clear"/>
      </w:tcPr>
    </w:tblStylePr>
    <w:tblStylePr w:type="band1Horz">
      <w:tblPr/>
      <w:tcPr>
        <w:tcBorders>
          <w:top w:val="nil"/>
          <w:left w:val="nil"/>
          <w:bottom w:val="nil"/>
          <w:right w:val="nil"/>
          <w:insideH w:val="nil"/>
          <w:insideV w:val="nil"/>
          <w:tl2br w:val="nil"/>
          <w:tr2bl w:val="nil"/>
        </w:tcBorders>
        <w:shd w:color="auto" w:fill="auto" w:val="clear"/>
      </w:tcPr>
    </w:tblStylePr>
    <w:tblStylePr w:type="band2Horz">
      <w:tblPr/>
      <w:tcPr>
        <w:tcBorders>
          <w:top w:color="000000" w:space="0" w:sz="24" w:themeColor="text1" w:val="single"/>
          <w:left w:val="nil"/>
          <w:bottom w:color="000000" w:space="0" w:sz="24" w:themeColor="text1" w:val="single"/>
          <w:right w:val="nil"/>
          <w:insideH w:val="nil"/>
          <w:insideV w:val="nil"/>
          <w:tl2br w:val="nil"/>
          <w:tr2bl w:val="nil"/>
        </w:tcBorders>
        <w:shd w:color="auto" w:fill="auto" w:val="clear"/>
      </w:tcPr>
    </w:tblStylePr>
  </w:style>
  <w:style w:styleId="af0" w:type="paragraph">
    <w:name w:val="List Paragraph"/>
    <w:basedOn w:val="a"/>
    <w:uiPriority w:val="34"/>
    <w:qFormat/>
    <w:rsid w:val="00463B32"/>
    <w:pPr>
      <w:ind w:firstLine="420" w:firstLineChars="200"/>
    </w:pPr>
  </w:style>
  <w:style w:customStyle="1" w:styleId="20" w:type="character">
    <w:name w:val="标题 2 字符"/>
    <w:basedOn w:val="a0"/>
    <w:link w:val="2"/>
    <w:uiPriority w:val="9"/>
    <w:rsid w:val="00B87651"/>
    <w:rPr>
      <w:rFonts w:asciiTheme="majorHAnsi" w:cstheme="majorBidi" w:eastAsiaTheme="majorEastAsia" w:hAnsiTheme="majorHAns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2042401">
      <w:bodyDiv w:val="1"/>
      <w:marLeft w:val="0"/>
      <w:marRight w:val="0"/>
      <w:marTop w:val="0"/>
      <w:marBottom w:val="0"/>
      <w:divBdr>
        <w:top w:val="none" w:sz="0" w:space="0" w:color="auto"/>
        <w:left w:val="none" w:sz="0" w:space="0" w:color="auto"/>
        <w:bottom w:val="none" w:sz="0" w:space="0" w:color="auto"/>
        <w:right w:val="none" w:sz="0" w:space="0" w:color="auto"/>
      </w:divBdr>
      <w:divsChild>
        <w:div w:id="395976647">
          <w:marLeft w:val="0"/>
          <w:marRight w:val="0"/>
          <w:marTop w:val="0"/>
          <w:marBottom w:val="0"/>
          <w:divBdr>
            <w:top w:val="none" w:sz="0" w:space="0" w:color="auto"/>
            <w:left w:val="none" w:sz="0" w:space="0" w:color="auto"/>
            <w:bottom w:val="none" w:sz="0" w:space="0" w:color="auto"/>
            <w:right w:val="none" w:sz="0" w:space="0" w:color="auto"/>
          </w:divBdr>
          <w:divsChild>
            <w:div w:id="523134133">
              <w:marLeft w:val="0"/>
              <w:marRight w:val="0"/>
              <w:marTop w:val="0"/>
              <w:marBottom w:val="0"/>
              <w:divBdr>
                <w:top w:val="none" w:sz="0" w:space="0" w:color="auto"/>
                <w:left w:val="none" w:sz="0" w:space="0" w:color="auto"/>
                <w:bottom w:val="none" w:sz="0" w:space="0" w:color="auto"/>
                <w:right w:val="none" w:sz="0" w:space="0" w:color="auto"/>
              </w:divBdr>
              <w:divsChild>
                <w:div w:id="918566273">
                  <w:marLeft w:val="0"/>
                  <w:marRight w:val="0"/>
                  <w:marTop w:val="0"/>
                  <w:marBottom w:val="0"/>
                  <w:divBdr>
                    <w:top w:val="none" w:sz="0" w:space="0" w:color="auto"/>
                    <w:left w:val="none" w:sz="0" w:space="0" w:color="auto"/>
                    <w:bottom w:val="none" w:sz="0" w:space="0" w:color="auto"/>
                    <w:right w:val="none" w:sz="0" w:space="0" w:color="auto"/>
                  </w:divBdr>
                  <w:divsChild>
                    <w:div w:id="27073102">
                      <w:marLeft w:val="0"/>
                      <w:marRight w:val="0"/>
                      <w:marTop w:val="0"/>
                      <w:marBottom w:val="0"/>
                      <w:divBdr>
                        <w:top w:val="none" w:sz="0" w:space="0" w:color="auto"/>
                        <w:left w:val="none" w:sz="0" w:space="0" w:color="auto"/>
                        <w:bottom w:val="none" w:sz="0" w:space="0" w:color="auto"/>
                        <w:right w:val="none" w:sz="0" w:space="0" w:color="auto"/>
                      </w:divBdr>
                      <w:divsChild>
                        <w:div w:id="558637358">
                          <w:marLeft w:val="0"/>
                          <w:marRight w:val="0"/>
                          <w:marTop w:val="0"/>
                          <w:marBottom w:val="0"/>
                          <w:divBdr>
                            <w:top w:val="none" w:sz="0" w:space="0" w:color="auto"/>
                            <w:left w:val="none" w:sz="0" w:space="0" w:color="auto"/>
                            <w:bottom w:val="none" w:sz="0" w:space="0" w:color="auto"/>
                            <w:right w:val="none" w:sz="0" w:space="0" w:color="auto"/>
                          </w:divBdr>
                          <w:divsChild>
                            <w:div w:id="1596094480">
                              <w:marLeft w:val="0"/>
                              <w:marRight w:val="0"/>
                              <w:marTop w:val="0"/>
                              <w:marBottom w:val="0"/>
                              <w:divBdr>
                                <w:top w:val="none" w:sz="0" w:space="0" w:color="auto"/>
                                <w:left w:val="none" w:sz="0" w:space="0" w:color="auto"/>
                                <w:bottom w:val="none" w:sz="0" w:space="0" w:color="auto"/>
                                <w:right w:val="none" w:sz="0" w:space="0" w:color="auto"/>
                              </w:divBdr>
                              <w:divsChild>
                                <w:div w:id="608511308">
                                  <w:marLeft w:val="0"/>
                                  <w:marRight w:val="0"/>
                                  <w:marTop w:val="0"/>
                                  <w:marBottom w:val="0"/>
                                  <w:divBdr>
                                    <w:top w:val="none" w:sz="0" w:space="0" w:color="auto"/>
                                    <w:left w:val="none" w:sz="0" w:space="0" w:color="auto"/>
                                    <w:bottom w:val="none" w:sz="0" w:space="0" w:color="auto"/>
                                    <w:right w:val="none" w:sz="0" w:space="0" w:color="auto"/>
                                  </w:divBdr>
                                  <w:divsChild>
                                    <w:div w:id="862480052">
                                      <w:marLeft w:val="0"/>
                                      <w:marRight w:val="0"/>
                                      <w:marTop w:val="0"/>
                                      <w:marBottom w:val="0"/>
                                      <w:divBdr>
                                        <w:top w:val="none" w:sz="0" w:space="0" w:color="auto"/>
                                        <w:left w:val="none" w:sz="0" w:space="0" w:color="auto"/>
                                        <w:bottom w:val="none" w:sz="0" w:space="0" w:color="auto"/>
                                        <w:right w:val="none" w:sz="0" w:space="0" w:color="auto"/>
                                      </w:divBdr>
                                      <w:divsChild>
                                        <w:div w:id="1584995802">
                                          <w:marLeft w:val="0"/>
                                          <w:marRight w:val="0"/>
                                          <w:marTop w:val="0"/>
                                          <w:marBottom w:val="0"/>
                                          <w:divBdr>
                                            <w:top w:val="none" w:sz="0" w:space="0" w:color="auto"/>
                                            <w:left w:val="none" w:sz="0" w:space="0" w:color="auto"/>
                                            <w:bottom w:val="none" w:sz="0" w:space="0" w:color="auto"/>
                                            <w:right w:val="none" w:sz="0" w:space="0" w:color="auto"/>
                                          </w:divBdr>
                                          <w:divsChild>
                                            <w:div w:id="118070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902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numbering.xml"
                 Type="http://schemas.openxmlformats.org/officeDocument/2006/relationships/numbering"/>
   <Relationship Id="rId2"
                 Target="styles.xml"
                 Type="http://schemas.openxmlformats.org/officeDocument/2006/relationships/styles"/>
   <Relationship Id="rId3"
                 Target="settings.xml"
                 Type="http://schemas.openxmlformats.org/officeDocument/2006/relationships/settings"/>
   <Relationship Id="rId4"
                 Target="webSettings.xml"
                 Type="http://schemas.openxmlformats.org/officeDocument/2006/relationships/webSettings"/>
   <Relationship Id="rId5"
                 Target="footnotes.xml"
                 Type="http://schemas.openxmlformats.org/officeDocument/2006/relationships/footnotes"/>
   <Relationship Id="rId6"
                 Target="endnotes.xml"
                 Type="http://schemas.openxmlformats.org/officeDocument/2006/relationships/endnotes"/>
   <Relationship Id="rId7"
                 Target="fontTable.xml"
                 Type="http://schemas.openxmlformats.org/officeDocument/2006/relationships/fontTable"/>
   <Relationship Id="rId8"
                 Target="theme/theme1.xml"
                 Type="http://schemas.openxmlformats.org/officeDocument/2006/relationships/them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2</Pages>
  <Words>109</Words>
  <Characters>627</Characters>
  <Application>Microsoft Office Word</Application>
  <DocSecurity>0</DocSecurity>
  <Lines>5</Lines>
  <Paragraphs>1</Paragraphs>
  <ScaleCrop>false</ScaleCrop>
  <Company>http://sdwm.org</Company>
  <LinksUpToDate>false</LinksUpToDate>
  <CharactersWithSpaces>735</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2017-11-20T05:33:00Z</dcterms:created>
  <dc:creator>Administrator</dc:creator>
  <cp:lastModifiedBy>尹 真</cp:lastModifiedBy>
  <dcterms:modified xsi:type="dcterms:W3CDTF">2020-06-18T02:22:00Z</dcterms:modified>
  <cp:revision>111</cp:revision>
</cp:coreProperties>
</file>